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DF" w:rsidRDefault="00A076DF" w:rsidP="00A076DF">
      <w:pPr>
        <w:widowControl w:val="0"/>
        <w:tabs>
          <w:tab w:val="left" w:pos="794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76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ПРОЕКТ</w:t>
      </w:r>
    </w:p>
    <w:p w:rsidR="00A076DF" w:rsidRPr="00A076DF" w:rsidRDefault="00A076DF" w:rsidP="00A076DF">
      <w:pPr>
        <w:widowControl w:val="0"/>
        <w:tabs>
          <w:tab w:val="left" w:pos="79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1EC3" w:rsidRPr="00C50424" w:rsidRDefault="00A21EC3" w:rsidP="00500725">
      <w:pPr>
        <w:widowControl w:val="0"/>
        <w:tabs>
          <w:tab w:val="left" w:pos="79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500725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Утверждены: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00725"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</w:t>
      </w:r>
      <w:r w:rsidR="005007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ем 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</w:p>
    <w:p w:rsidR="00DA430F" w:rsidRPr="00C50424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 «</w:t>
      </w:r>
      <w:proofErr w:type="spellStart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Троицко</w:t>
      </w:r>
      <w:proofErr w:type="spellEnd"/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-Печорский»</w:t>
      </w:r>
    </w:p>
    <w:p w:rsidR="00DA430F" w:rsidRDefault="00DA430F" w:rsidP="00DA4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="00B87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 w:rsidR="00A076DF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202</w:t>
      </w:r>
      <w:r w:rsidR="00A076DF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№ </w:t>
      </w:r>
      <w:r w:rsidR="00A076DF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C50424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A076DF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49455E" w:rsidRPr="00C50424" w:rsidRDefault="0049455E" w:rsidP="004945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(приложение</w:t>
      </w:r>
      <w:proofErr w:type="gramStart"/>
      <w:r w:rsidR="00B87E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</w:p>
    <w:p w:rsidR="00D92117" w:rsidRPr="00C50424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</w:p>
    <w:p w:rsidR="00D92117" w:rsidRPr="00E9561F" w:rsidRDefault="00D92117" w:rsidP="00D92117">
      <w:pPr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Местные нормативы </w:t>
      </w:r>
      <w:proofErr w:type="gramStart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градостроительного</w:t>
      </w:r>
      <w:proofErr w:type="gramEnd"/>
    </w:p>
    <w:p w:rsidR="00D92117" w:rsidRPr="00E9561F" w:rsidRDefault="00D92117" w:rsidP="00D92117">
      <w:pPr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проектирования </w:t>
      </w:r>
      <w:r w:rsidRPr="00E9561F">
        <w:rPr>
          <w:rFonts w:ascii="Times New Roman" w:eastAsia="Calibri" w:hAnsi="Times New Roman" w:cs="Times New Roman"/>
          <w:b/>
          <w:bCs/>
          <w:sz w:val="32"/>
          <w:szCs w:val="32"/>
        </w:rPr>
        <w:t>муниципальных образований сельских поселений</w:t>
      </w:r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 «</w:t>
      </w:r>
      <w:proofErr w:type="spellStart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Троицко</w:t>
      </w:r>
      <w:proofErr w:type="spellEnd"/>
      <w:r w:rsidRPr="00E956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-Печорский»  Республики Коми</w:t>
      </w: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tabs>
          <w:tab w:val="left" w:pos="6547"/>
        </w:tabs>
        <w:autoSpaceDE w:val="0"/>
        <w:spacing w:after="0" w:line="36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autoSpaceDE w:val="0"/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5762" w:rsidRPr="00D92117" w:rsidRDefault="001E5762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tabs>
          <w:tab w:val="left" w:pos="3294"/>
        </w:tabs>
        <w:autoSpaceDE w:val="0"/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117" w:rsidRPr="00D92117" w:rsidRDefault="00D92117" w:rsidP="00D92117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1F148E" w:rsidRDefault="001F148E">
      <w:pPr>
        <w:pStyle w:val="12"/>
        <w:tabs>
          <w:tab w:val="right" w:leader="dot" w:pos="9736"/>
        </w:tabs>
      </w:pPr>
    </w:p>
    <w:p w:rsidR="001F148E" w:rsidRPr="001F148E" w:rsidRDefault="001F148E" w:rsidP="001F148E">
      <w:pPr>
        <w:rPr>
          <w:lang w:eastAsia="ar-SA"/>
        </w:rPr>
      </w:pPr>
    </w:p>
    <w:p w:rsidR="001F148E" w:rsidRPr="003F69C4" w:rsidRDefault="001F148E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3F69C4">
        <w:rPr>
          <w:bCs/>
          <w:noProof/>
          <w:lang w:eastAsia="ru-RU"/>
        </w:rPr>
        <w:t>ОБЩИЕ ПОЛОЖЕНИЯ</w:t>
      </w:r>
      <w:r w:rsidRPr="003F69C4">
        <w:rPr>
          <w:noProof/>
          <w:webHidden/>
        </w:rPr>
        <w:tab/>
      </w:r>
      <w:r w:rsidR="008F1C0A" w:rsidRPr="003F69C4">
        <w:rPr>
          <w:noProof/>
          <w:webHidden/>
        </w:rPr>
        <w:t>3</w:t>
      </w:r>
    </w:p>
    <w:p w:rsidR="001F148E" w:rsidRDefault="003F69C4" w:rsidP="007D59C1">
      <w:pPr>
        <w:pStyle w:val="12"/>
        <w:tabs>
          <w:tab w:val="right" w:leader="dot" w:pos="9736"/>
        </w:tabs>
        <w:spacing w:line="240" w:lineRule="atLeast"/>
        <w:rPr>
          <w:rStyle w:val="a7"/>
          <w:noProof/>
          <w:color w:val="auto"/>
          <w:u w:val="none"/>
        </w:rPr>
      </w:pPr>
      <w:r w:rsidRPr="003F69C4">
        <w:rPr>
          <w:rStyle w:val="a7"/>
          <w:noProof/>
          <w:color w:val="auto"/>
          <w:u w:val="none"/>
        </w:rPr>
        <w:t>Состав нормативов и порядок их утверждения …………………………………………………..</w:t>
      </w:r>
      <w:r>
        <w:rPr>
          <w:rStyle w:val="a7"/>
          <w:noProof/>
          <w:color w:val="auto"/>
          <w:u w:val="none"/>
        </w:rPr>
        <w:t>.</w:t>
      </w:r>
      <w:r w:rsidRPr="003F69C4">
        <w:rPr>
          <w:rStyle w:val="a7"/>
          <w:noProof/>
          <w:color w:val="auto"/>
          <w:u w:val="none"/>
        </w:rPr>
        <w:t>.4</w:t>
      </w:r>
    </w:p>
    <w:p w:rsidR="003F69C4" w:rsidRDefault="003F69C4" w:rsidP="007D59C1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sz w:val="24"/>
          <w:szCs w:val="24"/>
          <w:lang w:eastAsia="ar-SA"/>
        </w:rPr>
        <w:t xml:space="preserve">Нормативные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ссылки…………….</w:t>
      </w:r>
      <w:r w:rsidRPr="003F69C4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…………………………………………………………………5</w:t>
      </w:r>
    </w:p>
    <w:p w:rsidR="007D59C1" w:rsidRPr="003F69C4" w:rsidRDefault="007D59C1" w:rsidP="007D59C1">
      <w:pPr>
        <w:spacing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Термины и определения……………………………………………………………………………..5</w:t>
      </w:r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68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 xml:space="preserve">ЧАСТЬ </w:t>
        </w:r>
        <w:r w:rsidR="001F148E" w:rsidRPr="003F69C4">
          <w:rPr>
            <w:rStyle w:val="a7"/>
            <w:bCs/>
            <w:noProof/>
            <w:color w:val="auto"/>
            <w:u w:val="none"/>
            <w:lang w:val="en-US" w:eastAsia="ru-RU"/>
          </w:rPr>
          <w:t>I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_Toc500762868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noProof/>
        </w:rPr>
      </w:pPr>
      <w:hyperlink w:anchor="_Toc500762869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ОСНОВНЫЕ РАСЧЕТНЫЕ ПОКАЗАТЕЛИ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_Toc500762869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0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 Расчетные показатели, устанавливаемые для объектов местного значения в области жилищного строительства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_Toc500762870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1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2* Расчетные показатели, устанавливаемые для объектов местного значения в области образования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_Toc500762871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12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2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_Toc500762872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14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3" w:history="1">
        <w:r w:rsidR="001F148E" w:rsidRPr="00A076DF">
          <w:rPr>
            <w:rStyle w:val="a7"/>
            <w:bCs/>
            <w:noProof/>
            <w:color w:val="auto"/>
            <w:highlight w:val="cyan"/>
            <w:u w:val="none"/>
            <w:lang w:eastAsia="ru-RU"/>
          </w:rPr>
          <w:t>4 Расчетные показатели, устанавливаемые для объектов местного значения в области физической культуры и спорта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_Toc500762873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15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Default="006B3E3B" w:rsidP="00C3745D">
      <w:pPr>
        <w:pStyle w:val="12"/>
        <w:tabs>
          <w:tab w:val="right" w:leader="dot" w:pos="9736"/>
        </w:tabs>
        <w:rPr>
          <w:noProof/>
        </w:rPr>
      </w:pPr>
      <w:hyperlink w:anchor="_Toc500762874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_Toc500762874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16</w:t>
        </w:r>
        <w:r w:rsidR="00143B57" w:rsidRPr="003F69C4">
          <w:rPr>
            <w:noProof/>
            <w:webHidden/>
          </w:rPr>
          <w:fldChar w:fldCharType="end"/>
        </w:r>
      </w:hyperlink>
    </w:p>
    <w:p w:rsidR="005B575A" w:rsidRDefault="005B575A" w:rsidP="005B575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5B575A">
        <w:rPr>
          <w:rFonts w:ascii="Times New Roman" w:hAnsi="Times New Roman" w:cs="Times New Roman"/>
          <w:sz w:val="24"/>
          <w:szCs w:val="24"/>
          <w:lang w:eastAsia="ar-SA"/>
        </w:rPr>
        <w:t>5.1 Объекты культуры ……………………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</w:t>
      </w:r>
      <w:r w:rsidRPr="005B575A">
        <w:rPr>
          <w:rFonts w:ascii="Times New Roman" w:hAnsi="Times New Roman" w:cs="Times New Roman"/>
          <w:sz w:val="24"/>
          <w:szCs w:val="24"/>
          <w:lang w:eastAsia="ar-SA"/>
        </w:rPr>
        <w:t>…………………… 16</w:t>
      </w:r>
    </w:p>
    <w:p w:rsidR="005B575A" w:rsidRPr="005B575A" w:rsidRDefault="005B575A" w:rsidP="005B575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5.2 Объекты общественного питания, торговли и бытового обслуживания……………………17</w:t>
      </w:r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75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6 Расчетные показатели, устанавливаемые для объектов местного значения в области рекреации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_Toc500762875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18</w:t>
        </w:r>
        <w:r w:rsidR="00143B57" w:rsidRPr="003F69C4">
          <w:rPr>
            <w:noProof/>
            <w:webHidden/>
          </w:rPr>
          <w:fldChar w:fldCharType="end"/>
        </w:r>
      </w:hyperlink>
    </w:p>
    <w:p w:rsidR="001F148E" w:rsidRDefault="006B3E3B" w:rsidP="00B71EB3">
      <w:pPr>
        <w:pStyle w:val="12"/>
        <w:tabs>
          <w:tab w:val="right" w:leader="dot" w:pos="9736"/>
        </w:tabs>
        <w:jc w:val="both"/>
        <w:rPr>
          <w:noProof/>
        </w:rPr>
      </w:pPr>
      <w:hyperlink w:anchor="_Toc500762876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7* Расчетные показатели, устанавливаемые для объектов местного значения в области энергетики и инженерной инфраструктуры (справочные)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_Toc500762876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20</w:t>
        </w:r>
        <w:r w:rsidR="00143B57" w:rsidRPr="003F69C4">
          <w:rPr>
            <w:noProof/>
            <w:webHidden/>
          </w:rPr>
          <w:fldChar w:fldCharType="end"/>
        </w:r>
      </w:hyperlink>
    </w:p>
    <w:p w:rsidR="00B71EB3" w:rsidRDefault="00B71EB3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71EB3">
        <w:rPr>
          <w:rFonts w:ascii="Times New Roman" w:hAnsi="Times New Roman" w:cs="Times New Roman"/>
          <w:sz w:val="24"/>
          <w:szCs w:val="24"/>
          <w:lang w:eastAsia="ar-SA"/>
        </w:rPr>
        <w:t>7.1 Расчетные показатели объектов, относящихся к области электроснабжения…………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…..</w:t>
      </w:r>
      <w:r w:rsidRPr="00B71EB3">
        <w:rPr>
          <w:rFonts w:ascii="Times New Roman" w:hAnsi="Times New Roman" w:cs="Times New Roman"/>
          <w:sz w:val="24"/>
          <w:szCs w:val="24"/>
          <w:lang w:eastAsia="ar-SA"/>
        </w:rPr>
        <w:t>20</w:t>
      </w:r>
    </w:p>
    <w:p w:rsidR="00B71EB3" w:rsidRDefault="00B71EB3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7.2 Расчетные показатели объектов, относящихся к области тепл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,газоснабжения………….21</w:t>
      </w:r>
    </w:p>
    <w:p w:rsidR="008812BC" w:rsidRDefault="008812BC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7.3 </w:t>
      </w:r>
      <w:r w:rsidRPr="008812BC">
        <w:rPr>
          <w:rFonts w:ascii="Times New Roman" w:hAnsi="Times New Roman" w:cs="Times New Roman"/>
          <w:sz w:val="24"/>
          <w:szCs w:val="24"/>
          <w:lang w:eastAsia="ar-SA"/>
        </w:rPr>
        <w:t>Расчетные показатели объектов, относящихся к области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водоснабжения …………………22</w:t>
      </w:r>
    </w:p>
    <w:p w:rsidR="00AD6FCA" w:rsidRPr="00B71EB3" w:rsidRDefault="00AD6FCA" w:rsidP="00B71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7.4 </w:t>
      </w:r>
      <w:r w:rsidRPr="00AD6FCA">
        <w:rPr>
          <w:rFonts w:ascii="Times New Roman" w:hAnsi="Times New Roman" w:cs="Times New Roman"/>
          <w:sz w:val="24"/>
          <w:szCs w:val="24"/>
          <w:lang w:eastAsia="ar-SA"/>
        </w:rPr>
        <w:t>Расчетные показатели объектов, относящихся к области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водоотведения ………………….23</w:t>
      </w:r>
    </w:p>
    <w:p w:rsidR="001F148E" w:rsidRPr="003F69C4" w:rsidRDefault="006B3E3B" w:rsidP="00C3745D">
      <w:pPr>
        <w:pStyle w:val="12"/>
        <w:tabs>
          <w:tab w:val="right" w:leader="dot" w:pos="9736"/>
        </w:tabs>
        <w:rPr>
          <w:noProof/>
        </w:rPr>
      </w:pPr>
      <w:hyperlink w:anchor="_Toc500762877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8. Расчетные показатели, устанавливаемые для объектов местного значения в области автомобильных дорог местного значения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_Toc500762877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23</w:t>
        </w:r>
        <w:r w:rsidR="00143B57" w:rsidRPr="003F69C4">
          <w:rPr>
            <w:noProof/>
            <w:webHidden/>
          </w:rPr>
          <w:fldChar w:fldCharType="end"/>
        </w:r>
      </w:hyperlink>
    </w:p>
    <w:p w:rsidR="003F0238" w:rsidRDefault="00136E21" w:rsidP="009C6861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8.1 Расчетные показатели, устанавливаемые для объектов местного значения в области тр</w:t>
      </w:r>
      <w:r w:rsidR="003F0238">
        <w:rPr>
          <w:rFonts w:ascii="Times New Roman" w:hAnsi="Times New Roman" w:cs="Times New Roman"/>
          <w:bCs/>
          <w:sz w:val="24"/>
          <w:szCs w:val="24"/>
          <w:lang w:eastAsia="ar-SA"/>
        </w:rPr>
        <w:t>анспорта ………………………………………………………………………………………….25</w:t>
      </w:r>
    </w:p>
    <w:p w:rsidR="00F76796" w:rsidRPr="003F69C4" w:rsidRDefault="00F84F1C" w:rsidP="009C6861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9. 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r w:rsidR="00136E2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</w:t>
      </w:r>
      <w:r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…..</w:t>
      </w:r>
      <w:r w:rsidR="00136E2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…2</w:t>
      </w:r>
      <w:r w:rsidR="005C0FA1" w:rsidRPr="003F69C4"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</w:p>
    <w:p w:rsidR="00F76796" w:rsidRPr="003F69C4" w:rsidRDefault="00F76796" w:rsidP="009C6861">
      <w:pPr>
        <w:tabs>
          <w:tab w:val="right" w:leader="dot" w:pos="973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F69C4">
        <w:rPr>
          <w:rFonts w:ascii="Times New Roman" w:hAnsi="Times New Roman" w:cs="Times New Roman"/>
          <w:noProof/>
          <w:sz w:val="24"/>
          <w:szCs w:val="24"/>
        </w:rPr>
        <w:t>10.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последствий………………………………………………………………………………………….</w:t>
      </w:r>
      <w:r w:rsidR="009C6861">
        <w:rPr>
          <w:rFonts w:ascii="Times New Roman" w:hAnsi="Times New Roman" w:cs="Times New Roman"/>
          <w:noProof/>
          <w:sz w:val="24"/>
          <w:szCs w:val="24"/>
        </w:rPr>
        <w:t>28</w:t>
      </w:r>
    </w:p>
    <w:p w:rsidR="001F148E" w:rsidRPr="003F69C4" w:rsidRDefault="006B3E3B" w:rsidP="009C6861">
      <w:pPr>
        <w:pStyle w:val="12"/>
        <w:tabs>
          <w:tab w:val="right" w:leader="dot" w:pos="9736"/>
        </w:tabs>
        <w:jc w:val="both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0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11.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1F148E" w:rsidRPr="003F69C4">
          <w:rPr>
            <w:noProof/>
            <w:webHidden/>
          </w:rPr>
          <w:tab/>
        </w:r>
        <w:r w:rsidR="00D13CEC" w:rsidRPr="003F69C4">
          <w:rPr>
            <w:noProof/>
            <w:webHidden/>
          </w:rPr>
          <w:t>28</w:t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1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12. Расчетные показатели, устанавливаемые для объектов местного значения в области захоронений</w:t>
        </w:r>
        <w:r w:rsidR="001F148E" w:rsidRPr="003F69C4">
          <w:rPr>
            <w:noProof/>
            <w:webHidden/>
          </w:rPr>
          <w:tab/>
        </w:r>
        <w:r w:rsidR="00B87E9C">
          <w:rPr>
            <w:noProof/>
            <w:webHidden/>
          </w:rPr>
          <w:t>30</w:t>
        </w:r>
      </w:hyperlink>
    </w:p>
    <w:p w:rsidR="001F148E" w:rsidRPr="003F69C4" w:rsidRDefault="006B3E3B" w:rsidP="00C3745D">
      <w:pPr>
        <w:pStyle w:val="12"/>
        <w:tabs>
          <w:tab w:val="right" w:leader="dot" w:pos="9736"/>
        </w:tabs>
        <w:rPr>
          <w:noProof/>
        </w:rPr>
      </w:pPr>
      <w:hyperlink w:anchor="_Toc500762882" w:history="1"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 xml:space="preserve">13. Иные расчетные показатели, </w:t>
        </w:r>
        <w:r w:rsidR="001F148E" w:rsidRPr="003F69C4">
          <w:rPr>
            <w:rStyle w:val="a7"/>
            <w:rFonts w:eastAsia="Arial"/>
            <w:noProof/>
            <w:color w:val="auto"/>
            <w:u w:val="none"/>
          </w:rPr>
          <w:t xml:space="preserve">необходимые для подготовки документов территориального планирования, </w:t>
        </w:r>
        <w:r w:rsidR="001F148E" w:rsidRPr="003F69C4">
          <w:rPr>
            <w:rStyle w:val="a7"/>
            <w:bCs/>
            <w:noProof/>
            <w:color w:val="auto"/>
            <w:u w:val="none"/>
            <w:lang w:eastAsia="ru-RU"/>
          </w:rPr>
          <w:t>документации по планировке территорий - область  обеспечения благоприятных условий жизнедеятельности населения, категории маломобильных, инвалидов и пожилых людей</w:t>
        </w:r>
        <w:r w:rsidR="001F148E" w:rsidRPr="003F69C4">
          <w:rPr>
            <w:noProof/>
            <w:webHidden/>
          </w:rPr>
          <w:tab/>
        </w:r>
        <w:r w:rsidR="00143B57" w:rsidRPr="003F69C4">
          <w:rPr>
            <w:noProof/>
            <w:webHidden/>
          </w:rPr>
          <w:fldChar w:fldCharType="begin"/>
        </w:r>
        <w:r w:rsidR="001F148E" w:rsidRPr="003F69C4">
          <w:rPr>
            <w:noProof/>
            <w:webHidden/>
          </w:rPr>
          <w:instrText xml:space="preserve"> PAGEREF _Toc500762882 \h </w:instrText>
        </w:r>
        <w:r w:rsidR="00143B57" w:rsidRPr="003F69C4">
          <w:rPr>
            <w:noProof/>
            <w:webHidden/>
          </w:rPr>
        </w:r>
        <w:r w:rsidR="00143B57" w:rsidRPr="003F69C4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30</w:t>
        </w:r>
        <w:r w:rsidR="00143B57" w:rsidRPr="003F69C4">
          <w:rPr>
            <w:noProof/>
            <w:webHidden/>
          </w:rPr>
          <w:fldChar w:fldCharType="end"/>
        </w:r>
      </w:hyperlink>
    </w:p>
    <w:p w:rsidR="00917D89" w:rsidRPr="003F69C4" w:rsidRDefault="00917D89" w:rsidP="0080112A">
      <w:pPr>
        <w:tabs>
          <w:tab w:val="right" w:leader="dot" w:pos="973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3F69C4">
        <w:rPr>
          <w:rFonts w:ascii="Times New Roman" w:hAnsi="Times New Roman" w:cs="Times New Roman"/>
          <w:sz w:val="24"/>
          <w:szCs w:val="24"/>
          <w:lang w:eastAsia="ar-SA"/>
        </w:rPr>
        <w:t xml:space="preserve">14. </w:t>
      </w:r>
      <w:r w:rsidRPr="00A076DF">
        <w:rPr>
          <w:rFonts w:ascii="Times New Roman" w:hAnsi="Times New Roman" w:cs="Times New Roman"/>
          <w:sz w:val="24"/>
          <w:szCs w:val="24"/>
          <w:lang w:eastAsia="ar-SA"/>
        </w:rPr>
        <w:t>Велосипедные дорожки</w:t>
      </w:r>
      <w:bookmarkStart w:id="0" w:name="_GoBack"/>
      <w:bookmarkEnd w:id="0"/>
      <w:r w:rsidRPr="00F602CD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>………………………………………………………………………</w:t>
      </w:r>
      <w:r w:rsidR="00C3745D" w:rsidRPr="003F69C4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="009C6861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A16D20" w:rsidRPr="003F69C4">
        <w:rPr>
          <w:rFonts w:ascii="Times New Roman" w:hAnsi="Times New Roman" w:cs="Times New Roman"/>
          <w:sz w:val="24"/>
          <w:szCs w:val="24"/>
          <w:lang w:eastAsia="ar-SA"/>
        </w:rPr>
        <w:t>32</w:t>
      </w:r>
    </w:p>
    <w:p w:rsidR="0080112A" w:rsidRPr="003F69C4" w:rsidRDefault="0080112A" w:rsidP="0080112A">
      <w:pPr>
        <w:tabs>
          <w:tab w:val="right" w:leader="dot" w:pos="973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Сооружения и устройства для хранения и обслуживания транспортных средств…………</w:t>
      </w:r>
      <w:r w:rsidR="009C6861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</w:p>
    <w:p w:rsidR="0080112A" w:rsidRPr="003F69C4" w:rsidRDefault="0080112A" w:rsidP="0080112A">
      <w:pPr>
        <w:tabs>
          <w:tab w:val="right" w:leader="dot" w:pos="97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3F6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нормативы </w:t>
      </w:r>
      <w:proofErr w:type="gramStart"/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 подразделений территориальных органов Министерства внутренних дел Российской</w:t>
      </w:r>
      <w:proofErr w:type="gramEnd"/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Федерации……………………</w:t>
      </w:r>
      <w:r w:rsidR="00807F4D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…………………..50</w:t>
      </w:r>
    </w:p>
    <w:p w:rsidR="0080112A" w:rsidRPr="003F69C4" w:rsidRDefault="0080112A" w:rsidP="0080112A">
      <w:pPr>
        <w:tabs>
          <w:tab w:val="right" w:leader="dot" w:pos="973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148E" w:rsidRPr="003F69C4" w:rsidRDefault="00127D9F" w:rsidP="00C3745D">
      <w:pPr>
        <w:pStyle w:val="12"/>
        <w:tabs>
          <w:tab w:val="left" w:pos="972"/>
          <w:tab w:val="right" w:leader="dot" w:pos="9736"/>
        </w:tabs>
        <w:rPr>
          <w:rStyle w:val="a7"/>
          <w:noProof/>
          <w:color w:val="auto"/>
          <w:u w:val="none"/>
        </w:rPr>
      </w:pPr>
      <w:r w:rsidRPr="003F69C4">
        <w:rPr>
          <w:rStyle w:val="a7"/>
          <w:noProof/>
          <w:color w:val="auto"/>
          <w:u w:val="none"/>
        </w:rPr>
        <w:lastRenderedPageBreak/>
        <w:tab/>
      </w:r>
    </w:p>
    <w:p w:rsidR="001F148E" w:rsidRPr="00807F4D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3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 xml:space="preserve">ЧАСТЬ </w:t>
        </w:r>
        <w:r w:rsidR="001F148E" w:rsidRPr="00807F4D">
          <w:rPr>
            <w:rStyle w:val="a7"/>
            <w:bCs/>
            <w:noProof/>
            <w:color w:val="auto"/>
            <w:u w:val="none"/>
            <w:lang w:val="en-US" w:eastAsia="ru-RU"/>
          </w:rPr>
          <w:t>II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_Toc500762883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51</w:t>
        </w:r>
        <w:r w:rsidR="00143B57" w:rsidRPr="00807F4D">
          <w:rPr>
            <w:noProof/>
            <w:webHidden/>
          </w:rPr>
          <w:fldChar w:fldCharType="end"/>
        </w:r>
      </w:hyperlink>
    </w:p>
    <w:p w:rsidR="007121B6" w:rsidRPr="00807F4D" w:rsidRDefault="006B3E3B" w:rsidP="00C3745D">
      <w:pPr>
        <w:tabs>
          <w:tab w:val="right" w:leader="dot" w:pos="9736"/>
        </w:tabs>
        <w:rPr>
          <w:rFonts w:ascii="Times New Roman" w:hAnsi="Times New Roman" w:cs="Times New Roman"/>
          <w:noProof/>
        </w:rPr>
      </w:pPr>
      <w:hyperlink w:anchor="_Toc500762884" w:history="1">
        <w:r w:rsidR="001F148E" w:rsidRPr="00807F4D">
          <w:rPr>
            <w:rStyle w:val="a7"/>
            <w:rFonts w:ascii="Times New Roman" w:hAnsi="Times New Roman" w:cs="Times New Roman"/>
            <w:bCs/>
            <w:noProof/>
            <w:color w:val="auto"/>
            <w:sz w:val="24"/>
            <w:szCs w:val="24"/>
            <w:u w:val="none"/>
            <w:lang w:eastAsia="ru-RU"/>
          </w:rPr>
          <w:t>МАТЕРИАЛЫ ПО ОБОСНОВАНИЮ РАСЧЕТНЫХ ПОКАЗАТЕЛЕЙ, СОДЕРЖАЩИХСЯ В ОСНОВНОЙ ЧАСТИ НОРМАТИВОВ ГРАДОСТРОИТЕЛЬНОГО ПРОЕКТИРОВАНИЯ</w:t>
        </w:r>
        <w:r w:rsidR="001F148E" w:rsidRPr="00807F4D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3232E" w:rsidRPr="00807F4D">
          <w:rPr>
            <w:rFonts w:ascii="Times New Roman" w:hAnsi="Times New Roman" w:cs="Times New Roman"/>
            <w:noProof/>
            <w:webHidden/>
            <w:sz w:val="24"/>
            <w:szCs w:val="24"/>
          </w:rPr>
          <w:t>51</w:t>
        </w:r>
      </w:hyperlink>
    </w:p>
    <w:p w:rsidR="001F148E" w:rsidRPr="00807F4D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5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 xml:space="preserve"> Анализ административно- территориального устройства, природно-климатических и социально-экономических условий развития МО МР «Троицко-Печорский» Республики Коми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_Toc500762885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51</w:t>
        </w:r>
        <w:r w:rsidR="00143B57" w:rsidRPr="00807F4D">
          <w:rPr>
            <w:noProof/>
            <w:webHidden/>
          </w:rPr>
          <w:fldChar w:fldCharType="end"/>
        </w:r>
      </w:hyperlink>
    </w:p>
    <w:p w:rsidR="001F148E" w:rsidRPr="00807F4D" w:rsidRDefault="001F148E" w:rsidP="00C3745D">
      <w:pPr>
        <w:pStyle w:val="12"/>
        <w:tabs>
          <w:tab w:val="right" w:leader="dot" w:pos="9736"/>
        </w:tabs>
        <w:rPr>
          <w:rStyle w:val="a7"/>
          <w:noProof/>
          <w:color w:val="auto"/>
          <w:u w:val="none"/>
        </w:rPr>
      </w:pPr>
    </w:p>
    <w:p w:rsidR="001F148E" w:rsidRPr="00807F4D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7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>ЧАСТЬ III</w:t>
        </w:r>
        <w:r w:rsidR="001F148E" w:rsidRPr="00807F4D">
          <w:rPr>
            <w:noProof/>
            <w:webHidden/>
          </w:rPr>
          <w:tab/>
        </w:r>
        <w:r w:rsidR="00143B57" w:rsidRPr="00807F4D">
          <w:rPr>
            <w:noProof/>
            <w:webHidden/>
          </w:rPr>
          <w:fldChar w:fldCharType="begin"/>
        </w:r>
        <w:r w:rsidR="001F148E" w:rsidRPr="00807F4D">
          <w:rPr>
            <w:noProof/>
            <w:webHidden/>
          </w:rPr>
          <w:instrText xml:space="preserve"> PAGEREF _Toc500762887 \h </w:instrText>
        </w:r>
        <w:r w:rsidR="00143B57" w:rsidRPr="00807F4D">
          <w:rPr>
            <w:noProof/>
            <w:webHidden/>
          </w:rPr>
        </w:r>
        <w:r w:rsidR="00143B57" w:rsidRPr="00807F4D">
          <w:rPr>
            <w:noProof/>
            <w:webHidden/>
          </w:rPr>
          <w:fldChar w:fldCharType="separate"/>
        </w:r>
        <w:r w:rsidR="00CD5963">
          <w:rPr>
            <w:noProof/>
            <w:webHidden/>
          </w:rPr>
          <w:t>64</w:t>
        </w:r>
        <w:r w:rsidR="00143B57" w:rsidRPr="00807F4D">
          <w:rPr>
            <w:noProof/>
            <w:webHidden/>
          </w:rPr>
          <w:fldChar w:fldCharType="end"/>
        </w:r>
      </w:hyperlink>
    </w:p>
    <w:p w:rsidR="001F148E" w:rsidRPr="00807F4D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88" w:history="1">
        <w:r w:rsidR="001F148E" w:rsidRPr="00807F4D">
          <w:rPr>
            <w:rStyle w:val="a7"/>
            <w:bCs/>
            <w:noProof/>
            <w:color w:val="auto"/>
            <w:u w:val="none"/>
            <w:lang w:eastAsia="ru-RU"/>
          </w:rPr>
          <w:t>ПРАВИЛА И ОБЛАСТЬ ПРИМЕНЕНИЯ РАСЧЕТНЫХ ПОКАЗАТЕЛЕЙ, СОДЕРЖАЩИХСЯ В ОСНОВНОЙ ЧАСТИ МЕСТНЫХ НОРМАТИВОВ ГРАДОСТРОИТЕЛЬНОГО ПРОЕКТИРОВАНИЯ</w:t>
        </w:r>
        <w:r w:rsidR="001F148E" w:rsidRPr="00807F4D">
          <w:rPr>
            <w:noProof/>
            <w:webHidden/>
          </w:rPr>
          <w:tab/>
        </w:r>
        <w:r w:rsidR="0093232E" w:rsidRPr="00807F4D">
          <w:rPr>
            <w:noProof/>
            <w:webHidden/>
          </w:rPr>
          <w:t>64</w:t>
        </w:r>
      </w:hyperlink>
    </w:p>
    <w:p w:rsidR="001F148E" w:rsidRPr="00807F4D" w:rsidRDefault="001F148E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B87E9C">
        <w:rPr>
          <w:bCs/>
          <w:noProof/>
          <w:lang w:eastAsia="ru-RU"/>
        </w:rPr>
        <w:t xml:space="preserve"> НОРМАТИВНЫЕ ССЫЛКИ</w:t>
      </w:r>
      <w:r w:rsidRPr="00807F4D">
        <w:rPr>
          <w:noProof/>
          <w:webHidden/>
        </w:rPr>
        <w:tab/>
      </w:r>
      <w:r w:rsidR="0093232E" w:rsidRPr="00807F4D">
        <w:rPr>
          <w:noProof/>
          <w:webHidden/>
        </w:rPr>
        <w:t>66</w:t>
      </w:r>
    </w:p>
    <w:p w:rsidR="001F148E" w:rsidRPr="00807F4D" w:rsidRDefault="006B3E3B" w:rsidP="00C3745D">
      <w:pPr>
        <w:pStyle w:val="12"/>
        <w:tabs>
          <w:tab w:val="right" w:leader="dot" w:pos="973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500762891" w:history="1"/>
    </w:p>
    <w:p w:rsidR="00D92117" w:rsidRPr="00807F4D" w:rsidRDefault="00D92117" w:rsidP="00C3745D">
      <w:pPr>
        <w:tabs>
          <w:tab w:val="right" w:leader="dot" w:pos="9736"/>
        </w:tabs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807F4D" w:rsidRDefault="00D92117" w:rsidP="00C3745D">
      <w:pPr>
        <w:tabs>
          <w:tab w:val="right" w:leader="dot" w:pos="9736"/>
        </w:tabs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C3745D">
      <w:pPr>
        <w:keepNext/>
        <w:keepLines/>
        <w:widowControl w:val="0"/>
        <w:tabs>
          <w:tab w:val="right" w:leader="dot" w:pos="9736"/>
        </w:tabs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50076286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ПОЛОЖЕНИЯ</w:t>
      </w:r>
      <w:bookmarkEnd w:id="1"/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Местные 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Республики Коми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законодательством Российской Федерации. 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 </w:t>
      </w: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Настоящие нормативы градостроительного проектирования распространяются на территорию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сельских поселений </w:t>
      </w:r>
      <w:proofErr w:type="spell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-Печорского района Республики Коми (далее – СП)</w:t>
      </w: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 пределах его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границ в части разработки генерального плана сельского поселения, документации по планировке территории, правил землепользования и застройки.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3. Настоящие нормативы разработаны для обеспечения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градостроительной деятельности на территории СП с учетом особенностей  застройки, климатических условий, с целью: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архитектурно-строительного проектирования,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D92117" w:rsidRPr="00D92117" w:rsidRDefault="00D92117" w:rsidP="00A724B3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D92117" w:rsidRPr="00D92117" w:rsidRDefault="00D92117" w:rsidP="00A724B3">
      <w:pPr>
        <w:widowControl w:val="0"/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4. Местные нормативы градостроительного проектирования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СП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D92117" w:rsidRPr="00D92117" w:rsidRDefault="00D92117" w:rsidP="00A724B3">
      <w:pPr>
        <w:widowControl w:val="0"/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Нормативы градостроительного проектирования включают в себя: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Основную часть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по обоснованию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D92117" w:rsidRPr="00D92117" w:rsidRDefault="00D92117" w:rsidP="0034332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и область применения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расчетных показателей, содержащихся в основной части</w:t>
      </w:r>
    </w:p>
    <w:p w:rsidR="00D92117" w:rsidRPr="00D92117" w:rsidRDefault="00D92117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E7E59" w:rsidRDefault="00D92117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E7E59" w:rsidRDefault="003E7E59" w:rsidP="00343329">
      <w:pPr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92117" w:rsidRPr="00D92117" w:rsidRDefault="00D92117" w:rsidP="00A724B3">
      <w:pPr>
        <w:ind w:left="284" w:right="-319"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 НОРМАТИВОВ И ПОРЯДОК ИХ УТВЕРЖДЕНИЯ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bookmarkStart w:id="2" w:name="sub_10011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1. Нормативы градостроительного проектирования - совокупность установленных в целях 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обеспечения благоприятных условий жизнедеятельности человека расчетных показателей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D92117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2. В состав местных нормативов градостроительного проектирования территории сельских поселений МО МР «</w:t>
      </w:r>
      <w:proofErr w:type="spell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-Печорский» включаются: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жилищного строительства;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образования;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здравоохранения;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физической культуры и спорта;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рекреации;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сельского хозяйства;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D92117" w:rsidRPr="00D92117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показатели, устанавливаемые для объектов местного значения в области захоронений;</w:t>
      </w:r>
    </w:p>
    <w:p w:rsidR="00D92117" w:rsidRPr="00127D9F" w:rsidRDefault="00D92117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 -</w:t>
      </w:r>
      <w:r w:rsidRPr="00D92117">
        <w:rPr>
          <w:rFonts w:ascii="Times New Roman" w:eastAsia="Arial" w:hAnsi="Times New Roman" w:cs="Arial"/>
          <w:sz w:val="20"/>
          <w:szCs w:val="20"/>
          <w:lang w:eastAsia="ar-SA"/>
        </w:rPr>
        <w:t xml:space="preserve"> </w:t>
      </w:r>
      <w:r w:rsidRPr="00D92117">
        <w:rPr>
          <w:rFonts w:ascii="Times New Roman" w:eastAsia="Arial" w:hAnsi="Times New Roman" w:cs="Arial"/>
          <w:sz w:val="24"/>
          <w:szCs w:val="24"/>
          <w:lang w:eastAsia="ar-SA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  <w:r w:rsidR="00127D9F">
        <w:rPr>
          <w:rFonts w:ascii="Times New Roman" w:eastAsia="Arial" w:hAnsi="Times New Roman" w:cs="Arial"/>
          <w:sz w:val="24"/>
          <w:szCs w:val="24"/>
          <w:lang w:eastAsia="ar-SA"/>
        </w:rPr>
        <w:t>;</w:t>
      </w:r>
    </w:p>
    <w:p w:rsidR="00127D9F" w:rsidRPr="00BD393C" w:rsidRDefault="00127D9F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Arial"/>
          <w:sz w:val="24"/>
          <w:szCs w:val="24"/>
          <w:lang w:eastAsia="ar-SA"/>
        </w:rPr>
        <w:t>велосипедные дорожки</w:t>
      </w:r>
      <w:r w:rsidR="00BD393C">
        <w:rPr>
          <w:rFonts w:ascii="Times New Roman" w:eastAsia="Arial" w:hAnsi="Times New Roman" w:cs="Arial"/>
          <w:sz w:val="24"/>
          <w:szCs w:val="24"/>
          <w:lang w:eastAsia="ar-SA"/>
        </w:rPr>
        <w:t>;</w:t>
      </w:r>
    </w:p>
    <w:p w:rsidR="00BD393C" w:rsidRPr="00BD393C" w:rsidRDefault="00BD393C" w:rsidP="00A724B3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011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ооружения и устройства для хранения и обслуживания транспортных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393C" w:rsidRPr="00BD393C" w:rsidRDefault="00BD393C" w:rsidP="00A724B3">
      <w:pPr>
        <w:pStyle w:val="aa"/>
        <w:numPr>
          <w:ilvl w:val="0"/>
          <w:numId w:val="32"/>
        </w:numPr>
        <w:ind w:left="284" w:right="-319" w:firstLine="426"/>
        <w:rPr>
          <w:rFonts w:eastAsia="Arial"/>
          <w:lang w:eastAsia="ar-SA"/>
        </w:rPr>
      </w:pPr>
      <w:r>
        <w:rPr>
          <w:rFonts w:eastAsia="Arial"/>
          <w:lang w:eastAsia="ar-SA"/>
        </w:rPr>
        <w:t>п</w:t>
      </w:r>
      <w:r w:rsidRPr="00BD393C">
        <w:rPr>
          <w:rFonts w:eastAsia="Arial"/>
          <w:lang w:eastAsia="ar-SA"/>
        </w:rPr>
        <w:t xml:space="preserve">римерные нормативы </w:t>
      </w:r>
      <w:proofErr w:type="gramStart"/>
      <w:r w:rsidRPr="00BD393C">
        <w:rPr>
          <w:rFonts w:eastAsia="Arial"/>
          <w:lang w:eastAsia="ar-SA"/>
        </w:rPr>
        <w:t>численности подразделений территориальных органов Министерства внутренних дел Российской  Федерации</w:t>
      </w:r>
      <w:proofErr w:type="gramEnd"/>
      <w:r>
        <w:rPr>
          <w:rFonts w:eastAsia="Arial"/>
          <w:lang w:eastAsia="ar-SA"/>
        </w:rPr>
        <w:t>.</w:t>
      </w:r>
    </w:p>
    <w:p w:rsidR="00BD393C" w:rsidRDefault="00BD393C" w:rsidP="00A724B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393C" w:rsidRPr="00D92117" w:rsidRDefault="00BD393C" w:rsidP="00A724B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3. Проект местных</w:t>
      </w:r>
      <w:r w:rsidRPr="00D92117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нормативов  градостроительного проектирования утверждается </w:t>
      </w:r>
      <w:r w:rsidR="008671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постановлением главы администрации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МО МР «</w:t>
      </w:r>
      <w:proofErr w:type="spellStart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-Печорский»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</w:t>
      </w: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муниципальных правовых актов и на официальном 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Интернет-портале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администрации </w:t>
      </w:r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МО МР «</w:t>
      </w:r>
      <w:proofErr w:type="spellStart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Троицко</w:t>
      </w:r>
      <w:proofErr w:type="spellEnd"/>
      <w:r w:rsidRPr="00D92117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-Печорский»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290536927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ССЫЛКИ</w:t>
      </w:r>
      <w:bookmarkEnd w:id="3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В настоящих местных нормативах  градостроительного проектирования 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hyperlink r:id="rId9" w:anchor="прА" w:tooltip="Приложение А" w:history="1">
        <w:r w:rsidRPr="00D92117">
          <w:rPr>
            <w:rFonts w:ascii="Times New Roman" w:eastAsia="Arial" w:hAnsi="Times New Roman" w:cs="Arial"/>
            <w:sz w:val="24"/>
            <w:szCs w:val="24"/>
            <w:lang w:eastAsia="ar-SA"/>
          </w:rPr>
          <w:t>А</w:t>
        </w:r>
        <w:proofErr w:type="gramEnd"/>
      </w:hyperlink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D92117" w:rsidRPr="00D92117" w:rsidRDefault="00D92117" w:rsidP="00A724B3">
      <w:pPr>
        <w:suppressAutoHyphens/>
        <w:autoSpaceDE w:val="0"/>
        <w:spacing w:after="0" w:line="240" w:lineRule="auto"/>
        <w:ind w:left="284" w:right="-319"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>Примечание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D9211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29053747"/>
      <w:bookmarkStart w:id="5" w:name="_Toc500762867"/>
      <w:bookmarkEnd w:id="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 И ОПРЕДЕЛЕНИЯ</w:t>
      </w:r>
      <w:bookmarkEnd w:id="4"/>
      <w:bookmarkEnd w:id="5"/>
    </w:p>
    <w:p w:rsidR="00502AA3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43329" w:rsidRDefault="00C50424" w:rsidP="00343329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</w:t>
      </w:r>
      <w:r w:rsidRPr="00D92117">
        <w:rPr>
          <w:rFonts w:ascii="Times New Roman" w:eastAsia="Calibri" w:hAnsi="Times New Roman" w:cs="Times New Roman"/>
          <w:b/>
          <w:sz w:val="24"/>
          <w:szCs w:val="24"/>
        </w:rPr>
        <w:t>радостроительная документация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(документы градостроительного проектирования) – документы территориального планирования, документы градостроительного зонирования, документация по планировке территории;</w:t>
      </w:r>
    </w:p>
    <w:p w:rsidR="00C50424" w:rsidRPr="00D92117" w:rsidRDefault="00C50424" w:rsidP="00343329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граница сельского населенного пункта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законодательно установленная линия, отделяющая земли сельского населенного пункта от иных категорий земель;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(район)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основной элемент планировочной структуры  населенного пункта, ограниченный красными линиями застройки, а также иными линиями градостроительного регулирования, от территории улично-дорожной сети, иных элементов планировочной структуры населенного пункта;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красная линия: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сельских поселениях;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линия регулирования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зона усадебной застройки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территория, занятая преимущественно одно-, двухквартирными 1 - 2-этажными жилыми домами с хозяйственными постройками на участках от 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блокированные жилые дома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территории природного комплекса (ПК) города, сельского населенного пункта: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с преобладанием растительности и (или) водных объектов, выполняющие преимущественно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средозащитные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природоохранные, рекреационные, оздоровительные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ландшафтообразующие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особоохраняемые</w:t>
      </w:r>
      <w:proofErr w:type="spellEnd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природные территории (ООПТ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и другие категории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особоохраняемых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территорий; 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озелененные территории: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поверхности которых занято зелеными насаждениями и другим растительным покровом;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градостроительное зонирование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пешеходная зона: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хранение: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парковка: временное пребывание на стоянках автотранспортных средств, принадлежащих посетителям объектов различного функционального назначения;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92117">
        <w:rPr>
          <w:rFonts w:ascii="Times New Roman" w:eastAsia="Calibri" w:hAnsi="Times New Roman" w:cs="Times New Roman"/>
          <w:b/>
          <w:sz w:val="24"/>
          <w:szCs w:val="24"/>
        </w:rPr>
        <w:t>автомобильная дорога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автостоянки: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внеуличными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в виде карманов при расширении проезжей части) либо уличными (на проезжей части, обозначенными разметкой);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гаражи-стоянки: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 и сооружения, предназначенные для хранения или парковки автомобилей, не имеющие оборудования для технического обслуживания автомобилей, за исключением простейших устройств - моек, смотровых ям, эстакад. Гаражи-стоянки могут иметь полное или неполное наружное ограждение;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гаражи: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здания, предназначенные для длительного хранения, парковки, технического обслуживания автомобилей;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природный объект: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естественная экологическая система, природный ландшафт и составляющие их элементы, сохранившие свои природные свойства;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естественная экологическая система (экосистема):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взаимодействуют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единое функциональное целое и связаны между собой обменом веществ и энергией;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природные территории: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средообразующее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ресурсосберегающее, оздоровительное и рекреационное значение;</w:t>
      </w:r>
    </w:p>
    <w:p w:rsidR="00C50424" w:rsidRPr="00D92117" w:rsidRDefault="00C50424" w:rsidP="00A724B3">
      <w:pPr>
        <w:autoSpaceDE w:val="0"/>
        <w:autoSpaceDN w:val="0"/>
        <w:adjustRightInd w:val="0"/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зоны с особыми условиями использования территорий: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охранные; санитарно-защитные зоны; зоны охраны объектов природно-культурного наследия (памятников истории и культуры); объекты культурного наследия народов Российской Федерации;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зоны; зоны охраны источников питьевого водоснабжения; зоны охраняемых объектов; иные зоны, устанавливаемые в соответствии с законодательством Российской Федерации и инструкций;</w:t>
      </w:r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зеленая зона: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10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(ГОСТ 17.5.3.01-01-78)</w:t>
        </w:r>
      </w:hyperlink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b/>
          <w:sz w:val="24"/>
          <w:szCs w:val="24"/>
        </w:rPr>
        <w:t>места захоронения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кладбища, крематории, колумбарии, расположенные на территории населенного пункта (поселения);</w:t>
      </w:r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92117">
        <w:rPr>
          <w:rFonts w:ascii="Times New Roman" w:eastAsia="Calibri" w:hAnsi="Times New Roman" w:cs="Times New Roman"/>
          <w:b/>
          <w:sz w:val="24"/>
          <w:szCs w:val="24"/>
        </w:rPr>
        <w:t>объекты местного значения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округов;</w:t>
      </w:r>
      <w:proofErr w:type="gramEnd"/>
    </w:p>
    <w:p w:rsidR="00C50424" w:rsidRPr="00D92117" w:rsidRDefault="00C50424" w:rsidP="00A724B3">
      <w:pPr>
        <w:spacing w:after="24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санитарно-защитная зона (СЗЗ)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hyperlink r:id="rId11" w:tooltip="Зоны с особыми условиями использования территорий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специальная территория с особым режимом использования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устанавливается вокруг объектов и производств, являющихся источниками воздействия на </w:t>
      </w:r>
      <w:hyperlink r:id="rId12" w:tooltip="Среда обитания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среду обитания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здоровье человека. Размер СЗЗ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</w:p>
    <w:p w:rsidR="00C50424" w:rsidRPr="00D92117" w:rsidRDefault="00C50424" w:rsidP="00A724B3">
      <w:pPr>
        <w:tabs>
          <w:tab w:val="left" w:pos="709"/>
        </w:tabs>
        <w:spacing w:after="24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lastRenderedPageBreak/>
        <w:t>Иные понятия, используемые в настоящих нормативах, употребляются в значениях, соответствующих значениям, содержащимся в Градостроительном кодексе Российской Федерации.</w:t>
      </w:r>
    </w:p>
    <w:p w:rsidR="00C50424" w:rsidRDefault="00C50424" w:rsidP="00A724B3">
      <w:pPr>
        <w:ind w:left="284" w:right="-319" w:firstLine="426"/>
      </w:pPr>
    </w:p>
    <w:p w:rsidR="00502AA3" w:rsidRDefault="00502AA3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500762868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bookmarkEnd w:id="6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50076286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РАСЧЕТНЫЕ ПОКАЗАТЕЛИ</w:t>
      </w:r>
      <w:bookmarkEnd w:id="7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-Печорского района Республики Коми.    </w:t>
      </w:r>
    </w:p>
    <w:p w:rsid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Расчетные показатели в области образования, инженерной инфраструктуры устанавливаются для объектов местного значения муниципальных районов. Расчетные показатели в области здравоохранения устанавливаются для объектов регионального значения. Пункты  2*, 3*, 7* имеют ознакомительный характер. </w:t>
      </w:r>
    </w:p>
    <w:p w:rsidR="00D471D6" w:rsidRPr="00D92117" w:rsidRDefault="00D471D6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50076287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Расчетные показатели, устанавливаемые для объектов местного значения в области жилищного строительства</w:t>
      </w:r>
      <w:bookmarkEnd w:id="8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Показатели минимального уровня жилищной обеспеченности (метров квадратных на 1 человека)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жилищной обеспеченности принимаются в соответствии с таблицей 1.</w:t>
      </w:r>
    </w:p>
    <w:p w:rsidR="00D92117" w:rsidRPr="00D92117" w:rsidRDefault="00343329" w:rsidP="00343329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D92117"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48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5"/>
        <w:gridCol w:w="1428"/>
        <w:gridCol w:w="1640"/>
        <w:gridCol w:w="1810"/>
      </w:tblGrid>
      <w:tr w:rsidR="00D92117" w:rsidRPr="00D92117" w:rsidTr="00343329">
        <w:trPr>
          <w:jc w:val="center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329" w:rsidRDefault="00D92117" w:rsidP="00343329">
            <w:pPr>
              <w:spacing w:after="0" w:line="100" w:lineRule="atLeast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</w:t>
            </w:r>
          </w:p>
          <w:p w:rsidR="00D92117" w:rsidRPr="00D92117" w:rsidRDefault="00D92117" w:rsidP="00343329">
            <w:pPr>
              <w:spacing w:after="0" w:line="100" w:lineRule="atLeast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329" w:rsidRDefault="00D92117" w:rsidP="00343329">
            <w:pPr>
              <w:spacing w:after="0" w:line="100" w:lineRule="atLeast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D92117" w:rsidRPr="00D92117" w:rsidRDefault="00D92117" w:rsidP="00343329">
            <w:pPr>
              <w:spacing w:after="0" w:line="100" w:lineRule="atLeast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117" w:rsidRPr="00D92117" w:rsidRDefault="00D92117" w:rsidP="00343329">
            <w:pPr>
              <w:spacing w:after="0" w:line="100" w:lineRule="atLeast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D92117" w:rsidRPr="00D92117" w:rsidTr="00343329">
        <w:trPr>
          <w:jc w:val="center"/>
        </w:trPr>
        <w:tc>
          <w:tcPr>
            <w:tcW w:w="2499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32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41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28" w:type="pct"/>
            <w:vAlign w:val="center"/>
          </w:tcPr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117" w:rsidRPr="00D92117" w:rsidRDefault="00D92117" w:rsidP="00343329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1.2</w:t>
      </w:r>
      <w:r w:rsidRPr="00D921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устанавливается.</w:t>
      </w:r>
    </w:p>
    <w:p w:rsidR="00DB0C98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 </w:t>
      </w:r>
      <w:r w:rsidRPr="00DB0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Максимальная высота  и этажность проектируемых жилых зданий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 </w:t>
      </w:r>
      <w:r w:rsidR="00DB0C98"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Правилами землепользования и застройки МО сельских поселений муниципального района  и</w:t>
      </w:r>
      <w:r w:rsidR="00DB0C98">
        <w:rPr>
          <w:rFonts w:ascii="Times New Roman" w:eastAsia="Times New Roman" w:hAnsi="Times New Roman" w:cs="Times New Roman"/>
          <w:color w:val="7030A0"/>
          <w:sz w:val="21"/>
          <w:szCs w:val="21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технических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параметров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DB0C98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и строительство вновь строящихся и реконструируемых многоквартирных жилых зданий, в том числе общежитий квартирного типа, а также жилых помещений, входящих в состав помещений зданий другого функционального назначения осуществляется с соблюдением СП 54.13330.2011, СП 54.13330.2016.</w:t>
      </w:r>
    </w:p>
    <w:p w:rsidR="00DB0C98" w:rsidRPr="00DB0C98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сельских населенных пунктах следует предусматривать жилые дома преимущественно усадебного типа. Застройка территорий малоэтажного жилищного строительства ведется с учетом СП 30-102-99. Проектирование, строительство и реконструкция отдельно стоящих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жилых домов с количеством этажей не более чем три, предназначенных для проживания одной семьи (объекты индивидуального жилищного строительства), ведется с соблюдением СП 54.13330.2016.</w:t>
      </w:r>
    </w:p>
    <w:p w:rsidR="00DB0C98" w:rsidRPr="00D92117" w:rsidRDefault="00DB0C9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1.4</w:t>
      </w:r>
      <w:proofErr w:type="gramStart"/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Д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ля предварительного определения размеров жилой зоны населенного пункта допускается принимать укрупненные показатели. Размеры жилой зоны в расчете на 1000 чел. населения для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 общей площади, га: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3309"/>
        <w:gridCol w:w="3317"/>
      </w:tblGrid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Территория, </w:t>
            </w:r>
            <w:proofErr w:type="gram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га</w:t>
            </w:r>
            <w:proofErr w:type="gramEnd"/>
          </w:p>
        </w:tc>
      </w:tr>
      <w:tr w:rsidR="00D92117" w:rsidRPr="00D92117" w:rsidTr="003E7E59">
        <w:tc>
          <w:tcPr>
            <w:tcW w:w="3379" w:type="dxa"/>
            <w:vMerge w:val="restart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Многоквартирной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2 - 3-этажной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D92117" w:rsidRPr="00D92117" w:rsidTr="003E7E59">
        <w:tc>
          <w:tcPr>
            <w:tcW w:w="3379" w:type="dxa"/>
            <w:vMerge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4 - 5-этажной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</w:tr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Блокированной 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1 - 3-этажной застройки</w:t>
            </w: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</w:tr>
      <w:tr w:rsidR="00D92117" w:rsidRPr="00D92117" w:rsidTr="003E7E59"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40 - 50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1.5  </w:t>
      </w:r>
      <w:hyperlink w:anchor="P2676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Показатели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плотности для жилой застройки различных типов следует принимать не более приведенных в таблице 1б.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E30CF0" w:rsidRDefault="00E30CF0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Таблица 1б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9" w:name="P2676"/>
      <w:bookmarkEnd w:id="9"/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Показатели плотности для жилой застройки различных типов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474"/>
      </w:tblGrid>
      <w:tr w:rsidR="00D92117" w:rsidRPr="00D92117" w:rsidTr="003E7E59">
        <w:tc>
          <w:tcPr>
            <w:tcW w:w="5953" w:type="dxa"/>
            <w:vMerge w:val="restart"/>
          </w:tcPr>
          <w:p w:rsidR="00D92117" w:rsidRPr="00D92117" w:rsidRDefault="00D92117" w:rsidP="00A72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Плотность застройки, </w:t>
            </w:r>
            <w:proofErr w:type="spell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/га</w:t>
            </w:r>
          </w:p>
        </w:tc>
        <w:tc>
          <w:tcPr>
            <w:tcW w:w="1474" w:type="dxa"/>
            <w:vMerge w:val="restart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Коэффициент застройки квартала</w:t>
            </w:r>
          </w:p>
        </w:tc>
      </w:tr>
      <w:tr w:rsidR="00D92117" w:rsidRPr="00D92117" w:rsidTr="003E7E59">
        <w:tc>
          <w:tcPr>
            <w:tcW w:w="5953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"брутто"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"нетто"</w:t>
            </w:r>
          </w:p>
        </w:tc>
        <w:tc>
          <w:tcPr>
            <w:tcW w:w="1474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Многоквартирная </w:t>
            </w:r>
            <w:proofErr w:type="spellStart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застройка (4 - 5 этажей)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0,35</w:t>
            </w:r>
          </w:p>
        </w:tc>
      </w:tr>
      <w:tr w:rsidR="00D92117" w:rsidRPr="00D92117" w:rsidTr="003E7E59">
        <w:tc>
          <w:tcPr>
            <w:tcW w:w="5953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077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74" w:type="dxa"/>
          </w:tcPr>
          <w:p w:rsidR="00D92117" w:rsidRPr="00D92117" w:rsidRDefault="00D92117" w:rsidP="00343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0,1 - 0,2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I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В. 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3. Социальная норма площади жилья принята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общей площади на человека при условии обеспечения каждой семье отдельной квартиры или дома.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5. Показатели в смешанной застройке определяются путем интерполяции.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1.6  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Минимальные </w:t>
      </w:r>
      <w:hyperlink w:anchor="P2718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размеры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участка для современной средне- и многоэтажной многоквартирной застройки приведены в таблице 1в.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Таблица 1в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10" w:name="P2718"/>
      <w:bookmarkEnd w:id="10"/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D92117" w:rsidRPr="00D92117" w:rsidTr="00D471D6">
        <w:trPr>
          <w:trHeight w:val="568"/>
          <w:tblHeader/>
        </w:trPr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Элементы территории участка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Удельный показатель, кв</w:t>
            </w:r>
            <w:proofErr w:type="gramStart"/>
            <w:r w:rsidRPr="00502AA3">
              <w:rPr>
                <w:rFonts w:ascii="Times New Roman" w:hAnsi="Times New Roman" w:cs="Times New Roman"/>
              </w:rPr>
              <w:t>.м</w:t>
            </w:r>
            <w:proofErr w:type="gramEnd"/>
            <w:r w:rsidRPr="00502AA3">
              <w:rPr>
                <w:rFonts w:ascii="Times New Roman" w:hAnsi="Times New Roman" w:cs="Times New Roman"/>
              </w:rPr>
              <w:t>/чел. при этажности</w:t>
            </w:r>
            <w:r w:rsidR="00502AA3" w:rsidRPr="00502AA3">
              <w:rPr>
                <w:rFonts w:ascii="Times New Roman" w:hAnsi="Times New Roman" w:cs="Times New Roman"/>
              </w:rPr>
              <w:t xml:space="preserve"> </w:t>
            </w:r>
            <w:r w:rsidRPr="00502AA3">
              <w:rPr>
                <w:rFonts w:ascii="Times New Roman" w:hAnsi="Times New Roman" w:cs="Times New Roman"/>
              </w:rPr>
              <w:t>3 - 5</w:t>
            </w:r>
          </w:p>
        </w:tc>
      </w:tr>
      <w:tr w:rsidR="00D92117" w:rsidRPr="00D92117" w:rsidTr="00502AA3">
        <w:trPr>
          <w:trHeight w:val="69"/>
        </w:trPr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18 - 20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Площадь застройки жилых зданий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6,0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 xml:space="preserve">Подъезды к зданию, тротуары </w:t>
            </w:r>
            <w:hyperlink w:anchor="P2741" w:history="1">
              <w:r w:rsidRPr="00502AA3">
                <w:rPr>
                  <w:rStyle w:val="a7"/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jc w:val="center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3,2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Стоянки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По пункту 8.3.14 РНГП РК</w:t>
            </w:r>
          </w:p>
        </w:tc>
      </w:tr>
      <w:tr w:rsidR="00D92117" w:rsidRPr="00D92117" w:rsidTr="003E7E59">
        <w:tc>
          <w:tcPr>
            <w:tcW w:w="5670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Озелененные территории</w:t>
            </w:r>
          </w:p>
        </w:tc>
        <w:tc>
          <w:tcPr>
            <w:tcW w:w="4111" w:type="dxa"/>
          </w:tcPr>
          <w:p w:rsidR="00D92117" w:rsidRPr="00502AA3" w:rsidRDefault="00D92117" w:rsidP="00A724B3">
            <w:pPr>
              <w:spacing w:line="240" w:lineRule="auto"/>
              <w:ind w:left="284" w:right="-319" w:firstLine="426"/>
              <w:rPr>
                <w:rFonts w:ascii="Times New Roman" w:hAnsi="Times New Roman" w:cs="Times New Roman"/>
              </w:rPr>
            </w:pPr>
            <w:r w:rsidRPr="00502AA3">
              <w:rPr>
                <w:rFonts w:ascii="Times New Roman" w:hAnsi="Times New Roman" w:cs="Times New Roman"/>
              </w:rPr>
              <w:t>По пункту 8.3.17 РНГП РК</w:t>
            </w:r>
          </w:p>
        </w:tc>
      </w:tr>
    </w:tbl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11" w:name="P2741"/>
      <w:bookmarkEnd w:id="11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&lt;*&gt; в том числе площадки для хозяйственных целей и объектов инженерного оборудования - 0,3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Примечания.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1. Показатели таблицы приведены для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 Пересчет для другой жилищной обеспеченности производить по формуле: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position w:val="-24"/>
          <w:sz w:val="20"/>
          <w:szCs w:val="20"/>
          <w:lang w:eastAsia="ru-RU"/>
        </w:rPr>
        <w:drawing>
          <wp:inline distT="0" distB="0" distL="0" distR="0" wp14:anchorId="75DD86D2" wp14:editId="4E8A200C">
            <wp:extent cx="1264920" cy="434340"/>
            <wp:effectExtent l="0" t="0" r="0" b="3810"/>
            <wp:docPr id="8" name="Рисунок 8" descr="Описание: 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ase_23648_117960_1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3FC4CA5" wp14:editId="21151914">
            <wp:extent cx="1265555" cy="425450"/>
            <wp:effectExtent l="0" t="0" r="0" b="0"/>
            <wp:docPr id="10" name="Рисунок 10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Рн</w:t>
      </w:r>
      <w:proofErr w:type="spell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удельный показатель новой жилищной обеспеченности,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территории на чел.;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Н - новая жилищная обеспеченность,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общей площади жилья/чел.;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Р</w:t>
      </w:r>
      <w:r w:rsidRPr="00D92117">
        <w:rPr>
          <w:rFonts w:ascii="Times New Roman" w:eastAsia="Times New Roman" w:hAnsi="Times New Roman" w:cs="Arial"/>
          <w:sz w:val="24"/>
          <w:szCs w:val="24"/>
          <w:vertAlign w:val="subscript"/>
          <w:lang w:eastAsia="ru-RU"/>
        </w:rPr>
        <w:t>20</w:t>
      </w: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удельный показатель при жилищной обеспеченности 20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/чел.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lang w:eastAsia="ru-RU"/>
        </w:rPr>
        <w:t xml:space="preserve">1.7  </w:t>
      </w:r>
      <w:r w:rsidRPr="00D92117">
        <w:rPr>
          <w:rFonts w:ascii="Times New Roman" w:eastAsia="Times New Roman" w:hAnsi="Times New Roman" w:cs="Times New Roman"/>
          <w:b/>
          <w:lang w:eastAsia="ru-RU"/>
        </w:rPr>
        <w:t>Удельные размеры площадок различного функционального назначения</w:t>
      </w:r>
      <w:r w:rsidRPr="00D92117">
        <w:rPr>
          <w:rFonts w:ascii="Times New Roman" w:eastAsia="Times New Roman" w:hAnsi="Times New Roman" w:cs="Times New Roman"/>
          <w:lang w:eastAsia="ru-RU"/>
        </w:rPr>
        <w:t>, размещаемых в кварталах многоквартирной застройки, следует принимать по таблице 1г.</w:t>
      </w:r>
    </w:p>
    <w:p w:rsidR="00D92117" w:rsidRPr="00D92117" w:rsidRDefault="00392DB0" w:rsidP="00392DB0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  <w:r w:rsidR="00D92117" w:rsidRPr="00D92117">
        <w:rPr>
          <w:rFonts w:ascii="Times New Roman" w:eastAsia="Times New Roman" w:hAnsi="Times New Roman" w:cs="Times New Roman"/>
          <w:lang w:eastAsia="ru-RU"/>
        </w:rPr>
        <w:t>Таблица 1г</w:t>
      </w:r>
    </w:p>
    <w:tbl>
      <w:tblPr>
        <w:tblW w:w="105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1340"/>
        <w:gridCol w:w="1134"/>
        <w:gridCol w:w="2027"/>
        <w:gridCol w:w="2249"/>
      </w:tblGrid>
      <w:tr w:rsidR="00D92117" w:rsidRPr="00D92117" w:rsidTr="0027247D">
        <w:trPr>
          <w:trHeight w:val="653"/>
          <w:jc w:val="center"/>
        </w:trPr>
        <w:tc>
          <w:tcPr>
            <w:tcW w:w="3793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474" w:type="dxa"/>
            <w:gridSpan w:val="2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размер</w:t>
            </w:r>
          </w:p>
          <w:p w:rsidR="00D92117" w:rsidRPr="00D92117" w:rsidRDefault="00D92117" w:rsidP="00392DB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территории, 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/чел.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подрайоне </w:t>
            </w:r>
          </w:p>
        </w:tc>
        <w:tc>
          <w:tcPr>
            <w:tcW w:w="2027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площадки, 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249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до окон жилых и общественных зданий,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D92117" w:rsidRPr="00D92117" w:rsidTr="0027247D">
        <w:trPr>
          <w:trHeight w:val="653"/>
          <w:jc w:val="center"/>
        </w:trPr>
        <w:tc>
          <w:tcPr>
            <w:tcW w:w="3793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1134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игр детей дошкольного и младшего школьного возраста (игровая площадка)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Физкультурно-игровая площадка для детей 10 - 14 лет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10 - 40 </w:t>
            </w:r>
            <w:hyperlink w:anchor="P2848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D92117" w:rsidRPr="00D92117" w:rsidTr="0027247D">
        <w:trPr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занятий физкультурой (дети старше 14 лет и взрослые)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</w:t>
            </w:r>
            <w:hyperlink w:anchor="P2847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10 - 40 </w:t>
            </w:r>
            <w:hyperlink w:anchor="P2848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</w:tr>
      <w:tr w:rsidR="00D92117" w:rsidRPr="00D92117" w:rsidTr="0027247D">
        <w:trPr>
          <w:trHeight w:val="630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2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хозяйственных целей и объектов инженерного оборудования (в т.ч. размещения мусоросборников, трансформаторных подстанций и т.п.)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</w:tcPr>
          <w:p w:rsidR="00D92117" w:rsidRPr="00D92117" w:rsidRDefault="00D92117" w:rsidP="0027247D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027" w:type="dxa"/>
            <w:vAlign w:val="center"/>
          </w:tcPr>
          <w:p w:rsidR="0027247D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состава объектов,</w:t>
            </w:r>
          </w:p>
          <w:p w:rsidR="0027247D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менее </w:t>
            </w:r>
          </w:p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249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92117" w:rsidRPr="00D92117" w:rsidTr="0027247D">
        <w:trPr>
          <w:trHeight w:val="627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стоянки автомашин </w:t>
            </w:r>
            <w:hyperlink w:anchor="P2849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92117" w:rsidRPr="00D92117" w:rsidRDefault="00D92117" w:rsidP="00392DB0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9" w:type="dxa"/>
            <w:vMerge w:val="restart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hyperlink r:id="rId14" w:history="1">
              <w:r w:rsidRPr="00D921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СанПиН 2.2.1/2.1.1.1200-03</w:t>
              </w:r>
            </w:hyperlink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примыкании участков для стоянки к проезжей части улиц и проездов (по 18 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4,1 - 8,8</w:t>
            </w:r>
          </w:p>
        </w:tc>
        <w:tc>
          <w:tcPr>
            <w:tcW w:w="1134" w:type="dxa"/>
          </w:tcPr>
          <w:p w:rsidR="00392DB0" w:rsidRDefault="00392DB0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4,7 - 10,1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trHeight w:val="925"/>
          <w:jc w:val="center"/>
        </w:trPr>
        <w:tc>
          <w:tcPr>
            <w:tcW w:w="3793" w:type="dxa"/>
            <w:vAlign w:val="center"/>
          </w:tcPr>
          <w:p w:rsidR="00D92117" w:rsidRPr="00D92117" w:rsidRDefault="00D92117" w:rsidP="0027247D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отдельном размещении стоянки (по 22,5 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автомашину)</w:t>
            </w:r>
          </w:p>
        </w:tc>
        <w:tc>
          <w:tcPr>
            <w:tcW w:w="1340" w:type="dxa"/>
            <w:vAlign w:val="center"/>
          </w:tcPr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5,1 - 10,9</w:t>
            </w:r>
          </w:p>
        </w:tc>
        <w:tc>
          <w:tcPr>
            <w:tcW w:w="1134" w:type="dxa"/>
          </w:tcPr>
          <w:p w:rsidR="00392DB0" w:rsidRDefault="00392DB0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392DB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5,9 - 12,7</w:t>
            </w:r>
          </w:p>
        </w:tc>
        <w:tc>
          <w:tcPr>
            <w:tcW w:w="202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27247D">
        <w:trPr>
          <w:jc w:val="center"/>
        </w:trPr>
        <w:tc>
          <w:tcPr>
            <w:tcW w:w="10543" w:type="dxa"/>
            <w:gridSpan w:val="5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&lt;*&gt; Минимальные стандартные размеры комплексных площадок без учета беговых дорожек.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" w:name="P2848"/>
            <w:bookmarkEnd w:id="12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&lt;**&gt; В зависимости от шумовых характеристик: при использовании крытых площадок или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при установке площадок для настольного тенниса - 10 м, для хоккейных и футбольных площадок - 40 м.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3" w:name="P2849"/>
            <w:bookmarkEnd w:id="13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&lt;***&gt; Минимальный показатель допускается использовать при наличии сведений о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минимальном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уровне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автомобилизации населения, а также в условиях реконструкции и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применения для размещения индивидуальных автомобилей встроенных гаражей,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размещении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в зоне пешеходной доступности многоуровневых гаражей. При планировании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новых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жилых </w:t>
            </w:r>
          </w:p>
          <w:p w:rsidR="0027247D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кварталов минимальный показатель рекомендуется принимать не ниже значения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среднего арифметического из представленного в таблице диапазона значений.</w:t>
            </w:r>
          </w:p>
        </w:tc>
      </w:tr>
      <w:tr w:rsidR="00D92117" w:rsidRPr="00D92117" w:rsidTr="0027247D">
        <w:trPr>
          <w:jc w:val="center"/>
        </w:trPr>
        <w:tc>
          <w:tcPr>
            <w:tcW w:w="10543" w:type="dxa"/>
            <w:gridSpan w:val="5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  <w:p w:rsidR="0027247D" w:rsidRPr="0027247D" w:rsidRDefault="00D92117" w:rsidP="0027247D">
            <w:pPr>
              <w:pStyle w:val="aa"/>
              <w:numPr>
                <w:ilvl w:val="0"/>
                <w:numId w:val="40"/>
              </w:numPr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 xml:space="preserve">Приведенные показатели относятся ко всей </w:t>
            </w:r>
            <w:proofErr w:type="spellStart"/>
            <w:r w:rsidRPr="0027247D">
              <w:rPr>
                <w:sz w:val="20"/>
                <w:szCs w:val="20"/>
              </w:rPr>
              <w:t>межмагистральной</w:t>
            </w:r>
            <w:proofErr w:type="spellEnd"/>
            <w:r w:rsidRPr="0027247D">
              <w:rPr>
                <w:sz w:val="20"/>
                <w:szCs w:val="20"/>
              </w:rPr>
              <w:t xml:space="preserve"> территории (кварталу) в целом,</w:t>
            </w:r>
          </w:p>
          <w:p w:rsidR="00D92117" w:rsidRPr="0027247D" w:rsidRDefault="00D92117" w:rsidP="0027247D">
            <w:pPr>
              <w:pStyle w:val="aa"/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>включая территорию отдельных участков, выделяемых под объекты капитального строительства.</w:t>
            </w:r>
          </w:p>
          <w:p w:rsidR="0027247D" w:rsidRPr="0027247D" w:rsidRDefault="00D92117" w:rsidP="0027247D">
            <w:pPr>
              <w:pStyle w:val="aa"/>
              <w:numPr>
                <w:ilvl w:val="0"/>
                <w:numId w:val="40"/>
              </w:numPr>
              <w:ind w:left="717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>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</w:t>
            </w:r>
          </w:p>
          <w:p w:rsidR="00D92117" w:rsidRPr="0027247D" w:rsidRDefault="00D92117" w:rsidP="0027247D">
            <w:pPr>
              <w:pStyle w:val="aa"/>
              <w:ind w:left="1070" w:right="-319"/>
              <w:jc w:val="both"/>
              <w:rPr>
                <w:sz w:val="20"/>
                <w:szCs w:val="20"/>
              </w:rPr>
            </w:pPr>
            <w:r w:rsidRPr="0027247D">
              <w:rPr>
                <w:sz w:val="20"/>
                <w:szCs w:val="20"/>
              </w:rPr>
              <w:t xml:space="preserve"> маневрировать обслуживающему </w:t>
            </w:r>
            <w:proofErr w:type="spellStart"/>
            <w:r w:rsidRPr="0027247D">
              <w:rPr>
                <w:sz w:val="20"/>
                <w:szCs w:val="20"/>
              </w:rPr>
              <w:t>мусоровозному</w:t>
            </w:r>
            <w:proofErr w:type="spellEnd"/>
            <w:r w:rsidRPr="0027247D">
              <w:rPr>
                <w:sz w:val="20"/>
                <w:szCs w:val="20"/>
              </w:rPr>
              <w:t xml:space="preserve"> транспорту.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кварталах застройки с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приквартирными</w:t>
            </w:r>
            <w:proofErr w:type="spell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D92117">
                <w:rPr>
                  <w:rFonts w:ascii="Times New Roman" w:eastAsia="Times New Roman" w:hAnsi="Times New Roman" w:cs="Times New Roman"/>
                  <w:lang w:eastAsia="ru-RU"/>
                </w:rPr>
                <w:t>показатели</w:t>
              </w:r>
            </w:hyperlink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 для стоянки автомашин на </w:t>
            </w:r>
            <w:proofErr w:type="spellStart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>межмагистральной</w:t>
            </w:r>
            <w:proofErr w:type="spellEnd"/>
            <w:r w:rsidRPr="00D92117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2117" w:rsidRDefault="00D92117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247D" w:rsidRDefault="0027247D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247D" w:rsidRPr="00D92117" w:rsidRDefault="0027247D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 Требования к </w:t>
      </w:r>
      <w:r w:rsidRPr="00D9211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размерам земельных участков и 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параметрам разрешенного </w:t>
      </w:r>
      <w:r w:rsidRPr="00D921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строительства, реконструкции объектов капитального строительства в зоне жилой застройки усадебного типа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 границы соседнего </w:t>
      </w:r>
      <w:proofErr w:type="spellStart"/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приквартирного</w:t>
      </w:r>
      <w:proofErr w:type="spellEnd"/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участка расстояния по санитарно-бытовым ус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  <w:t xml:space="preserve">ловиям должны быть не менее: от одноквартирного жилого дома — 3 м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требований п. 4.1.5 СП 30-102-99; 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  <w:t>тарника — 1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Постройки для содержания скота и птицы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пристраивать к жилым домам при изоляции их от жилых комнат не менее чем тремя подсобными помещениями; при этом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 для скота и птицы должны иметь изолированный наружный вход, расположенный не ближе 7 м от входа в дом.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Вспомогательные строения, за исключением гаражей, размещать со стороны улицы не допускается.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Расстояние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окон жилого здания до хозяйственных построек, расположенных на соседнем участке – не менее 10 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097" w:rsidRDefault="0088309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Toc500762871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2* Расчетные показатели, устанавливаемые для объектов местного значения в области образования (справочные)</w:t>
      </w:r>
      <w:bookmarkEnd w:id="14"/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 xml:space="preserve">2.1 Дошкольное образование 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объектов дошкольного образования необходимо руководствоваться расчетными показателями таблицы 3.</w:t>
      </w:r>
    </w:p>
    <w:p w:rsidR="00883097" w:rsidRDefault="0088309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3097" w:rsidRDefault="0088309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247D" w:rsidRDefault="0027247D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700"/>
        <w:gridCol w:w="1620"/>
        <w:gridCol w:w="2228"/>
        <w:gridCol w:w="1203"/>
        <w:gridCol w:w="1490"/>
      </w:tblGrid>
      <w:tr w:rsidR="00D92117" w:rsidRPr="00D92117" w:rsidTr="003E7E59">
        <w:trPr>
          <w:trHeight w:val="778"/>
          <w:tblHeader/>
        </w:trPr>
        <w:tc>
          <w:tcPr>
            <w:tcW w:w="540" w:type="dxa"/>
            <w:vMerge w:val="restart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00" w:type="dxa"/>
            <w:vMerge w:val="restart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48" w:type="dxa"/>
            <w:gridSpan w:val="2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470"/>
          <w:tblHeader/>
        </w:trPr>
        <w:tc>
          <w:tcPr>
            <w:tcW w:w="540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28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03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9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532"/>
        </w:trPr>
        <w:tc>
          <w:tcPr>
            <w:tcW w:w="540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270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Дошкольная образовательная организация</w:t>
            </w:r>
          </w:p>
        </w:tc>
        <w:tc>
          <w:tcPr>
            <w:tcW w:w="162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жителей</w:t>
            </w:r>
          </w:p>
        </w:tc>
        <w:tc>
          <w:tcPr>
            <w:tcW w:w="2228" w:type="dxa"/>
            <w:vAlign w:val="center"/>
          </w:tcPr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по демографии* </w:t>
            </w:r>
          </w:p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с учетом уровня обеспеченности </w:t>
            </w:r>
          </w:p>
          <w:p w:rsidR="0088309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детей дошкольными образовательными организациями, </w:t>
            </w:r>
          </w:p>
          <w:p w:rsidR="00D92117" w:rsidRPr="00D92117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не менее 66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90" w:type="dxa"/>
            <w:vAlign w:val="center"/>
          </w:tcPr>
          <w:p w:rsidR="00D92117" w:rsidRPr="00D92117" w:rsidRDefault="00D92117" w:rsidP="00883097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500** 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(*)о</w:t>
      </w:r>
      <w:r w:rsidRPr="00D92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бъектами дошкольного образования должны быть обеспеченны 85% численности детей дошкольного возраста,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одной дошкольной образовательной организации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местности - на 62 воспитанника.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10%. Возможна подвозка автобусами специального назначения «дошкольные» – не более 30 минут в одну сторону.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Расчетный показатель минимально допустимой площади территории для размещения объекта </w:t>
      </w: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дошкольного  образования.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Минимальная площадь земельного участка для размещения организации,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 на 1 место: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до 50 мест - 40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50 до 90 - 30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90 до 140 - 26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более 140 - 23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при условии соблюдения требований </w:t>
      </w:r>
      <w:hyperlink r:id="rId15" w:history="1">
        <w:r w:rsidRPr="00D92117">
          <w:rPr>
            <w:rFonts w:ascii="Times New Roman" w:eastAsia="Times New Roman" w:hAnsi="Times New Roman" w:cs="Arial"/>
            <w:sz w:val="24"/>
            <w:szCs w:val="24"/>
            <w:lang w:eastAsia="ru-RU"/>
          </w:rPr>
          <w:t>СанПиН 2.4.1.3049-13</w:t>
        </w:r>
      </w:hyperlink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Зона игровой территории включает индивидуальные для каждой группы площадки (из расчета не менее 7,0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ребенка для детей до 3 лет и не менее 9,0 кв.м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изоляции.</w:t>
      </w:r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 xml:space="preserve">2.2 Школьное образование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объектов общего образования необходимо руководствоваться расчетными показателями таблицы 4.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4</w:t>
      </w:r>
    </w:p>
    <w:tbl>
      <w:tblPr>
        <w:tblW w:w="10400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3279"/>
        <w:gridCol w:w="2693"/>
        <w:gridCol w:w="1134"/>
        <w:gridCol w:w="1276"/>
        <w:gridCol w:w="1133"/>
      </w:tblGrid>
      <w:tr w:rsidR="00D92117" w:rsidRPr="00084490" w:rsidTr="003E7E59">
        <w:trPr>
          <w:trHeight w:val="778"/>
        </w:trPr>
        <w:tc>
          <w:tcPr>
            <w:tcW w:w="885" w:type="dxa"/>
            <w:vMerge w:val="restart"/>
            <w:vAlign w:val="center"/>
          </w:tcPr>
          <w:p w:rsidR="00D92117" w:rsidRPr="00084490" w:rsidRDefault="00084490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79" w:type="dxa"/>
            <w:vMerge w:val="restart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gridSpan w:val="2"/>
            <w:vAlign w:val="center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084490" w:rsidTr="003E7E59">
        <w:trPr>
          <w:trHeight w:val="776"/>
        </w:trPr>
        <w:tc>
          <w:tcPr>
            <w:tcW w:w="885" w:type="dxa"/>
            <w:vMerge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279" w:type="dxa"/>
            <w:vMerge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6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084490" w:rsidTr="003E7E59">
        <w:trPr>
          <w:trHeight w:val="684"/>
        </w:trPr>
        <w:tc>
          <w:tcPr>
            <w:tcW w:w="885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79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Calibri"/>
                <w:color w:val="000000"/>
                <w:lang w:eastAsia="ru-RU"/>
              </w:rPr>
              <w:t>Общеобразовательная организация</w:t>
            </w:r>
          </w:p>
        </w:tc>
        <w:tc>
          <w:tcPr>
            <w:tcW w:w="269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учащихся  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жителей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lang w:eastAsia="ru-RU"/>
              </w:rPr>
              <w:t xml:space="preserve">123* </w:t>
            </w:r>
          </w:p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133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1000*</w:t>
            </w:r>
            <w:r w:rsidRPr="000844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*</w:t>
            </w:r>
          </w:p>
        </w:tc>
      </w:tr>
      <w:tr w:rsidR="00D92117" w:rsidRPr="00084490" w:rsidTr="003E7E59">
        <w:trPr>
          <w:trHeight w:val="276"/>
        </w:trPr>
        <w:tc>
          <w:tcPr>
            <w:tcW w:w="885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79" w:type="dxa"/>
            <w:vAlign w:val="center"/>
          </w:tcPr>
          <w:p w:rsidR="00D92117" w:rsidRPr="00084490" w:rsidRDefault="00D92117" w:rsidP="00084490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Calibri"/>
                <w:color w:val="00000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2693" w:type="dxa"/>
            <w:vAlign w:val="center"/>
          </w:tcPr>
          <w:p w:rsidR="00827E4D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Исходя из охвата детей и молодежи в возрасте 5 - 18 лет: всего - 80%, 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охват детскими и юношескими спортивными школами (ДЮСШ) - 20%.</w:t>
            </w:r>
          </w:p>
          <w:p w:rsidR="00D92117" w:rsidRPr="00084490" w:rsidRDefault="00D92117" w:rsidP="0008449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Calibri"/>
                <w:color w:val="000000"/>
                <w:lang w:eastAsia="ru-RU"/>
              </w:rPr>
            </w:pPr>
            <w:r w:rsidRPr="0008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Детские школы искусств, школы эстетического образования - 9% детей в возрасте 5 - 18 лет***</w:t>
            </w:r>
          </w:p>
        </w:tc>
        <w:tc>
          <w:tcPr>
            <w:tcW w:w="1134" w:type="dxa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D92117" w:rsidRPr="0008449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08449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D92117" w:rsidRPr="0008449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менее одной дневной общеобразовательной школы в сельской местности - на 201 человек.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10%. Д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общеобразовательных организаций</w:t>
      </w:r>
      <w:r w:rsidRPr="00D9211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 малоэтажной застройке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 в расчете на  100 обучающихся в общеобразовательных организациях -10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Расчетный показатель минимально допустимой площади территории для размещения </w:t>
      </w:r>
      <w:r w:rsidRPr="00D92117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общеобразовательных организаций.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Минимальная площадь земельного участка для размещения организации,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, на 1 место: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При вместимости общеобразовательной организации, учащихся: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40 до 400 учащихся - 50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400 до 500 учащихся - 60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500 до 600 учащихся - 50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от 600 до 800 учащихся - 40 кв</w:t>
      </w:r>
      <w:proofErr w:type="gramStart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1 учащегося,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Площадь участка принимается с учетом спортивной зоны. </w:t>
      </w: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_Toc50076287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3* Расчетные показатели, устанавливаемые для объектов местного значения в области здравоохранения (справочные)</w:t>
      </w:r>
      <w:bookmarkEnd w:id="15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проектировании объектов здравоохранения рекомендуется руководствоваться расчетными показателями таблицы 5.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Таблица 5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1918"/>
        <w:gridCol w:w="1371"/>
        <w:gridCol w:w="3129"/>
        <w:gridCol w:w="883"/>
        <w:gridCol w:w="2234"/>
      </w:tblGrid>
      <w:tr w:rsidR="00D92117" w:rsidRPr="00D92117" w:rsidTr="00DC3380">
        <w:trPr>
          <w:trHeight w:val="778"/>
        </w:trPr>
        <w:tc>
          <w:tcPr>
            <w:tcW w:w="331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="00F26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960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246" w:type="pct"/>
            <w:gridSpan w:val="2"/>
            <w:vAlign w:val="center"/>
          </w:tcPr>
          <w:p w:rsidR="00D92117" w:rsidRPr="00D92117" w:rsidRDefault="00D92117" w:rsidP="00F262FE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63" w:type="pct"/>
            <w:gridSpan w:val="2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DC3380">
        <w:trPr>
          <w:trHeight w:val="776"/>
        </w:trPr>
        <w:tc>
          <w:tcPr>
            <w:tcW w:w="331" w:type="pct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555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348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15" w:type="pc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DC3380">
        <w:trPr>
          <w:trHeight w:val="836"/>
        </w:trPr>
        <w:tc>
          <w:tcPr>
            <w:tcW w:w="331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0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Стационары всех типов с </w:t>
            </w:r>
            <w:proofErr w:type="spellStart"/>
            <w:proofErr w:type="gramStart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вспомога</w:t>
            </w:r>
            <w:proofErr w:type="spell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-тельными</w:t>
            </w:r>
            <w:proofErr w:type="gram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 зданиями и сооружениями</w:t>
            </w:r>
          </w:p>
        </w:tc>
        <w:tc>
          <w:tcPr>
            <w:tcW w:w="691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коек на 1000 жителей    </w:t>
            </w:r>
          </w:p>
        </w:tc>
        <w:tc>
          <w:tcPr>
            <w:tcW w:w="1555" w:type="pct"/>
            <w:vAlign w:val="center"/>
          </w:tcPr>
          <w:p w:rsidR="00D92117" w:rsidRP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По заданию на     </w:t>
            </w:r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проектирование, </w:t>
            </w:r>
            <w:proofErr w:type="spellStart"/>
            <w:proofErr w:type="gramStart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>опреде-ляемому</w:t>
            </w:r>
            <w:proofErr w:type="spellEnd"/>
            <w:proofErr w:type="gramEnd"/>
            <w:r w:rsidRPr="00F262FE">
              <w:rPr>
                <w:rFonts w:ascii="Times New Roman" w:eastAsia="Times New Roman" w:hAnsi="Times New Roman" w:cs="Times New Roman"/>
                <w:lang w:eastAsia="ru-RU"/>
              </w:rPr>
              <w:t xml:space="preserve"> органами здравоохранения, но не менее 14.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15" w:type="pct"/>
            <w:vMerge w:val="restart"/>
            <w:vAlign w:val="center"/>
          </w:tcPr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застройке 3 - 5 этажей - 1250 м,</w:t>
            </w:r>
          </w:p>
          <w:p w:rsidR="00F262FE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1 - 2 этажа </w:t>
            </w:r>
            <w:r w:rsidR="00F26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D92117" w:rsidRPr="00D92117" w:rsidRDefault="00D92117" w:rsidP="00F262FE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1500 м.*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B31E61" w:rsidTr="00DC3380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Поликлиники 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B31E61" w:rsidRDefault="00B31E61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посещений в смену на 1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тыс. жителей </w:t>
            </w:r>
          </w:p>
        </w:tc>
        <w:tc>
          <w:tcPr>
            <w:tcW w:w="155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По заданию на     </w:t>
            </w: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проектирование, </w:t>
            </w:r>
            <w:proofErr w:type="spellStart"/>
            <w:proofErr w:type="gramStart"/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опреде-ляемому</w:t>
            </w:r>
            <w:proofErr w:type="spellEnd"/>
            <w:proofErr w:type="gramEnd"/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 органами здравоохранения, но не менее 18,15</w:t>
            </w:r>
          </w:p>
        </w:tc>
        <w:tc>
          <w:tcPr>
            <w:tcW w:w="348" w:type="pct"/>
            <w:vMerge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5" w:type="pct"/>
            <w:vMerge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B31E61" w:rsidTr="00DC3380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Фельдшерский       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или фельдшерск</w:t>
            </w:r>
            <w:proofErr w:type="gramStart"/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акушерский пункт**   </w:t>
            </w:r>
          </w:p>
        </w:tc>
        <w:tc>
          <w:tcPr>
            <w:tcW w:w="691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объект </w:t>
            </w:r>
          </w:p>
        </w:tc>
        <w:tc>
          <w:tcPr>
            <w:tcW w:w="1555" w:type="pct"/>
            <w:vAlign w:val="center"/>
          </w:tcPr>
          <w:p w:rsidR="00D92117" w:rsidRPr="00B31E61" w:rsidRDefault="00B31E61" w:rsidP="00B31E61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заданию на </w:t>
            </w:r>
            <w:r w:rsidR="00D92117"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но не менее 1 на населенный пункт </w:t>
            </w:r>
          </w:p>
        </w:tc>
        <w:tc>
          <w:tcPr>
            <w:tcW w:w="348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мин.</w:t>
            </w:r>
          </w:p>
        </w:tc>
        <w:tc>
          <w:tcPr>
            <w:tcW w:w="111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с использованием транспорта </w:t>
            </w:r>
          </w:p>
        </w:tc>
      </w:tr>
      <w:tr w:rsidR="00D92117" w:rsidRPr="00B31E61" w:rsidTr="00DC3380">
        <w:trPr>
          <w:trHeight w:val="836"/>
        </w:trPr>
        <w:tc>
          <w:tcPr>
            <w:tcW w:w="331" w:type="pct"/>
            <w:vAlign w:val="center"/>
          </w:tcPr>
          <w:p w:rsidR="00D92117" w:rsidRPr="00B31E61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60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Аптечный пункт</w:t>
            </w:r>
          </w:p>
        </w:tc>
        <w:tc>
          <w:tcPr>
            <w:tcW w:w="691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объект</w:t>
            </w:r>
          </w:p>
        </w:tc>
        <w:tc>
          <w:tcPr>
            <w:tcW w:w="155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В городских населенных пунктах 1 объект на 10 тыс. жителей,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 не менее 1 на населенный пункт</w:t>
            </w:r>
          </w:p>
        </w:tc>
        <w:tc>
          <w:tcPr>
            <w:tcW w:w="348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115" w:type="pct"/>
            <w:vAlign w:val="center"/>
          </w:tcPr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застройке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 xml:space="preserve">3 - 8 этажей - 650 м, </w:t>
            </w:r>
          </w:p>
          <w:p w:rsidR="00D92117" w:rsidRPr="00B31E61" w:rsidRDefault="00D92117" w:rsidP="00B31E6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E61">
              <w:rPr>
                <w:rFonts w:ascii="Times New Roman" w:eastAsia="Times New Roman" w:hAnsi="Times New Roman" w:cs="Times New Roman"/>
                <w:lang w:eastAsia="ru-RU"/>
              </w:rPr>
              <w:t>1 - 2 этажа - 800 м</w:t>
            </w:r>
            <w:r w:rsidRPr="00B31E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D92117" w:rsidRPr="00B31E61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31E61">
        <w:rPr>
          <w:rFonts w:ascii="Times New Roman" w:eastAsia="Times New Roman" w:hAnsi="Times New Roman" w:cs="Times New Roman"/>
          <w:lang w:eastAsia="ru-RU"/>
        </w:rPr>
        <w:t xml:space="preserve">Примечание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.(**) 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_Toc500762873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Расчетные показатели, устанавливаемые для объектов местного значения в области физической культуры и спорта</w:t>
      </w:r>
      <w:bookmarkEnd w:id="16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1984"/>
        <w:gridCol w:w="1843"/>
        <w:gridCol w:w="1276"/>
      </w:tblGrid>
      <w:tr w:rsidR="00D92117" w:rsidRPr="00E20860" w:rsidTr="00E20860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E20860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A21B9" w:rsidRPr="00EA21B9" w:rsidRDefault="00EA21B9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21B9">
              <w:rPr>
                <w:rFonts w:ascii="Times New Roman" w:eastAsia="Calibri" w:hAnsi="Times New Roman" w:cs="Times New Roman"/>
              </w:rPr>
              <w:t xml:space="preserve">Наименование объекта </w:t>
            </w:r>
            <w:r w:rsidRPr="00EA21B9">
              <w:rPr>
                <w:rFonts w:ascii="Times New Roman" w:eastAsia="Calibri" w:hAnsi="Times New Roman" w:cs="Times New Roman"/>
                <w:highlight w:val="cyan"/>
              </w:rPr>
              <w:t>*</w:t>
            </w:r>
          </w:p>
        </w:tc>
        <w:tc>
          <w:tcPr>
            <w:tcW w:w="3402" w:type="dxa"/>
            <w:gridSpan w:val="2"/>
            <w:vAlign w:val="center"/>
          </w:tcPr>
          <w:p w:rsidR="00D92117" w:rsidRPr="00E20860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E20860" w:rsidTr="00E20860">
        <w:trPr>
          <w:trHeight w:val="619"/>
        </w:trPr>
        <w:tc>
          <w:tcPr>
            <w:tcW w:w="702" w:type="dxa"/>
            <w:vMerge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E20860" w:rsidTr="00E20860">
        <w:trPr>
          <w:trHeight w:val="836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Спортивный зал общего </w:t>
            </w:r>
            <w:proofErr w:type="spellStart"/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пользова-ния</w:t>
            </w:r>
            <w:proofErr w:type="spellEnd"/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физкультурно-спортивном центре </w:t>
            </w:r>
          </w:p>
        </w:tc>
        <w:tc>
          <w:tcPr>
            <w:tcW w:w="1418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площади пола на 1000 чел.</w:t>
            </w:r>
          </w:p>
        </w:tc>
        <w:tc>
          <w:tcPr>
            <w:tcW w:w="1984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E20860" w:rsidTr="00E20860">
        <w:trPr>
          <w:trHeight w:val="562"/>
        </w:trPr>
        <w:tc>
          <w:tcPr>
            <w:tcW w:w="70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20860" w:rsidRDefault="00E20860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="00D92117"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800***</w:t>
            </w:r>
          </w:p>
        </w:tc>
      </w:tr>
      <w:tr w:rsidR="00D92117" w:rsidRPr="00E20860" w:rsidTr="00E20860">
        <w:trPr>
          <w:trHeight w:val="413"/>
        </w:trPr>
        <w:tc>
          <w:tcPr>
            <w:tcW w:w="702" w:type="dxa"/>
            <w:vMerge w:val="restart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² площади пола на 1000 чел.</w:t>
            </w:r>
          </w:p>
        </w:tc>
        <w:tc>
          <w:tcPr>
            <w:tcW w:w="1984" w:type="dxa"/>
            <w:vMerge w:val="restart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1950*</w:t>
            </w:r>
          </w:p>
        </w:tc>
        <w:tc>
          <w:tcPr>
            <w:tcW w:w="1843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92117" w:rsidRPr="00E20860" w:rsidTr="00E20860">
        <w:trPr>
          <w:trHeight w:val="412"/>
        </w:trPr>
        <w:tc>
          <w:tcPr>
            <w:tcW w:w="70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276" w:type="dxa"/>
            <w:vAlign w:val="center"/>
          </w:tcPr>
          <w:p w:rsidR="00D92117" w:rsidRPr="00E20860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800***</w:t>
            </w:r>
          </w:p>
        </w:tc>
      </w:tr>
      <w:tr w:rsidR="00D92117" w:rsidRPr="00E20860" w:rsidTr="00E20860">
        <w:trPr>
          <w:trHeight w:val="412"/>
        </w:trPr>
        <w:tc>
          <w:tcPr>
            <w:tcW w:w="702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2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Бассейны</w:t>
            </w:r>
          </w:p>
        </w:tc>
        <w:tc>
          <w:tcPr>
            <w:tcW w:w="1418" w:type="dxa"/>
            <w:vAlign w:val="center"/>
          </w:tcPr>
          <w:p w:rsidR="00D92117" w:rsidRPr="00E20860" w:rsidRDefault="00D92117" w:rsidP="008F1C0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E2086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 xml:space="preserve"> площади зеркала воды на 1000 чел.</w:t>
            </w:r>
          </w:p>
        </w:tc>
        <w:tc>
          <w:tcPr>
            <w:tcW w:w="1984" w:type="dxa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75**</w:t>
            </w:r>
          </w:p>
          <w:p w:rsidR="00D92117" w:rsidRPr="00E20860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E20860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860">
              <w:rPr>
                <w:rFonts w:ascii="Times New Roman" w:eastAsia="Times New Roman" w:hAnsi="Times New Roman" w:cs="Times New Roman"/>
                <w:lang w:eastAsia="ru-RU"/>
              </w:rPr>
              <w:t>не устанавливается</w:t>
            </w:r>
          </w:p>
        </w:tc>
      </w:tr>
    </w:tbl>
    <w:p w:rsidR="00D92117" w:rsidRPr="00E20860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20860">
        <w:rPr>
          <w:rFonts w:ascii="Times New Roman" w:eastAsia="Times New Roman" w:hAnsi="Times New Roman" w:cs="Times New Roman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 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 тыс. человек населения, допускается сокращение этого норматива только на долю объектов регионального значения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населенных пунктах с числом жителей до 5 тыс. человек бассейны предусматриваются по заданию на проектирование с учетом нормативной вместимости объектов по технологическим требованиям. Бассейны в населенных пунктах с населением менее 2 тыс. человек,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подрайона IД радиус доступности уменьшается на 10%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1B9" w:rsidRPr="00EA21B9" w:rsidRDefault="00EA21B9" w:rsidP="00EA21B9">
      <w:pPr>
        <w:spacing w:after="0" w:line="240" w:lineRule="auto"/>
        <w:ind w:right="-319" w:firstLine="709"/>
        <w:jc w:val="both"/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</w:pPr>
      <w:r w:rsidRPr="00EA21B9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*   В соответствии с </w:t>
      </w:r>
      <w:r w:rsidRPr="00EA21B9"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  <w:t>постановлением Правительства Российской Федерации от 06.03.2015          № 202 «Об утверждении требований к антитеррористической защищенности объектов спорта и формы паспорта безопасности объектов спорта» устанавливаются следующие категории опасности объектов спорта:</w:t>
      </w:r>
    </w:p>
    <w:p w:rsidR="00EA21B9" w:rsidRPr="00EA21B9" w:rsidRDefault="00EA21B9" w:rsidP="00EA21B9">
      <w:pPr>
        <w:spacing w:after="0" w:line="240" w:lineRule="auto"/>
        <w:ind w:right="-319" w:firstLine="709"/>
        <w:jc w:val="both"/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</w:pPr>
      <w:r w:rsidRPr="00EA21B9"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  <w:t>а) объекты спорта первой категории опасности - объекты спорта, в результате совершения террористического акта на которых прогнозируемое количество пострадавших составит более 500 человек;</w:t>
      </w:r>
    </w:p>
    <w:p w:rsidR="00EA21B9" w:rsidRPr="00EA21B9" w:rsidRDefault="00EA21B9" w:rsidP="00EA21B9">
      <w:pPr>
        <w:spacing w:after="0" w:line="240" w:lineRule="auto"/>
        <w:ind w:right="-319" w:firstLine="709"/>
        <w:jc w:val="both"/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</w:pPr>
      <w:r w:rsidRPr="00EA21B9"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  <w:t>б) объекты спорта второй категории опасности - объекты спорта, в результате совершения террористического акта на которых прогнозируемое количество пострадавших составит от 101 до 500 человек;</w:t>
      </w:r>
    </w:p>
    <w:p w:rsidR="00EA21B9" w:rsidRPr="00EA21B9" w:rsidRDefault="00EA21B9" w:rsidP="00EA21B9">
      <w:pPr>
        <w:spacing w:after="0" w:line="240" w:lineRule="auto"/>
        <w:ind w:right="-319" w:firstLine="709"/>
        <w:jc w:val="both"/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</w:pPr>
      <w:r w:rsidRPr="00EA21B9"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  <w:t>в) объекты спорта третьей категории опасности - объекты спорта, в результате совершения террористического акта на которых прогнозируемое количество пострадавших составит от 31 до 100 человек;</w:t>
      </w:r>
    </w:p>
    <w:p w:rsidR="00EA21B9" w:rsidRPr="00EA21B9" w:rsidRDefault="00EA21B9" w:rsidP="00EA21B9">
      <w:pPr>
        <w:spacing w:after="0" w:line="240" w:lineRule="auto"/>
        <w:ind w:right="-319"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21B9">
        <w:rPr>
          <w:rFonts w:ascii="Times New Roman" w:eastAsia="Calibri" w:hAnsi="Times New Roman" w:cs="Times New Roman"/>
          <w:sz w:val="24"/>
          <w:szCs w:val="24"/>
          <w:highlight w:val="cyan"/>
          <w:lang w:eastAsia="ru-RU"/>
        </w:rPr>
        <w:t>г) объекты спорта четвертой категории опасности - объекты спорта, в результате совершения террористического акта на которых прогнозируемое количество пострадавших составит менее 30 человек.</w:t>
      </w:r>
    </w:p>
    <w:p w:rsidR="00EA21B9" w:rsidRPr="00EA21B9" w:rsidRDefault="00EA21B9" w:rsidP="00EA21B9">
      <w:pPr>
        <w:spacing w:after="0" w:line="240" w:lineRule="auto"/>
        <w:ind w:right="-31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_Toc500762874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 Расчетные показатели, устанавливаемые для объектов местного значения в области культуры и социального обеспечения</w:t>
      </w:r>
      <w:bookmarkEnd w:id="17"/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5.1 Объекты культуры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Проектирование объектов культуры осуществляется с учетом таблицы 7.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977"/>
        <w:gridCol w:w="1827"/>
        <w:gridCol w:w="1276"/>
        <w:gridCol w:w="1787"/>
        <w:gridCol w:w="1473"/>
      </w:tblGrid>
      <w:tr w:rsidR="00D92117" w:rsidRPr="00D92117" w:rsidTr="003E7E59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E20860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организации досуга и любительской деятельности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пола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60*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D92117" w:rsidRPr="00D92117" w:rsidTr="003E7E59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Клубы и организации клубного типа в населенных пунктах</w:t>
            </w: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числом жителей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91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500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Пешеходная доступность (минут)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33273B" w:rsidP="0033273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92117"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500-1000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1000-2000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зал**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площади пола на 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117" w:rsidRPr="00D92117" w:rsidTr="003E7E59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33273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</w:t>
            </w:r>
            <w:proofErr w:type="gramEnd"/>
            <w:r w:rsidR="00332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массовые библиотек на 1 тыс. чел. </w:t>
            </w:r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зоны обслуживания </w:t>
            </w:r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(из расчета </w:t>
            </w:r>
            <w:proofErr w:type="gramEnd"/>
          </w:p>
          <w:p w:rsidR="00E20860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30-минутной доступности) для сельских поселений</w:t>
            </w:r>
            <w:proofErr w:type="gramEnd"/>
          </w:p>
          <w:p w:rsidR="00D92117" w:rsidRPr="00D92117" w:rsidRDefault="00D92117" w:rsidP="00E20860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их групп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застройке:</w:t>
            </w:r>
          </w:p>
          <w:p w:rsidR="00D92117" w:rsidRPr="00D92117" w:rsidRDefault="00D92117" w:rsidP="00E20860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1 - 3 этажа - 1 объект на 3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Пешеходная /транспортная доступность (минут)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15-30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117" w:rsidRPr="00D92117" w:rsidTr="003E7E59">
        <w:trPr>
          <w:trHeight w:val="125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E20860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4 - 5 этажей - 1 объект на 10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(*)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Показатель применяется для объектов повседневного обслуживания населения. Допускается формировать единые досуговые комплексы (включая спортивные залы) для взрослых и детей на базе общеобразовательных организаций при обеспечении для взрослого населения отдельного входа и подсобных помещений.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Встроенные. Допускается совмещать с другими культурно-досуговыми организациями и объектами</w:t>
      </w:r>
    </w:p>
    <w:p w:rsidR="00D92117" w:rsidRPr="00D92117" w:rsidRDefault="00D92117" w:rsidP="00A724B3">
      <w:pPr>
        <w:spacing w:before="100" w:beforeAutospacing="1" w:after="150" w:line="240" w:lineRule="auto"/>
        <w:ind w:left="284" w:right="-319" w:firstLine="426"/>
        <w:outlineLvl w:val="3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5.2 Объекты общественного питания, торговли и бытового обслуживания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Проектирование объектов общественного питания, торговли и бытового обслуживания осуществляется с учетом таблицы 8.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8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559"/>
        <w:gridCol w:w="993"/>
        <w:gridCol w:w="1842"/>
        <w:gridCol w:w="1134"/>
        <w:gridCol w:w="1985"/>
      </w:tblGrid>
      <w:tr w:rsidR="00D92117" w:rsidRPr="00D92117" w:rsidTr="0033273B">
        <w:trPr>
          <w:trHeight w:val="778"/>
          <w:tblHeader/>
        </w:trPr>
        <w:tc>
          <w:tcPr>
            <w:tcW w:w="567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552" w:type="dxa"/>
            <w:gridSpan w:val="2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842" w:type="dxa"/>
            <w:vMerge w:val="restart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земельного участка</w:t>
            </w:r>
          </w:p>
        </w:tc>
        <w:tc>
          <w:tcPr>
            <w:tcW w:w="3119" w:type="dxa"/>
            <w:gridSpan w:val="2"/>
          </w:tcPr>
          <w:p w:rsidR="00D92117" w:rsidRPr="0033273B" w:rsidRDefault="00D92117" w:rsidP="00B0712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3273B">
        <w:trPr>
          <w:trHeight w:val="534"/>
          <w:tblHeader/>
        </w:trPr>
        <w:tc>
          <w:tcPr>
            <w:tcW w:w="567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842" w:type="dxa"/>
            <w:vMerge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33273B" w:rsidRDefault="00D92117" w:rsidP="00B07127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985" w:type="dxa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3273B">
        <w:trPr>
          <w:trHeight w:val="41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продовольственных товаров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торговой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площади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80</w:t>
            </w:r>
          </w:p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Торговые центры в сельских населенных пунктах, обслуживающие жителей: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до 1 тыс. человек - 0,1 - 0,2 га,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от 1 до 3 тыс. человек - 0,2 - 0,4 га,</w:t>
            </w:r>
          </w:p>
        </w:tc>
        <w:tc>
          <w:tcPr>
            <w:tcW w:w="1134" w:type="dxa"/>
            <w:vMerge w:val="restart"/>
            <w:vAlign w:val="center"/>
          </w:tcPr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метр/ 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мин. пешеходной доступности</w:t>
            </w:r>
          </w:p>
        </w:tc>
        <w:tc>
          <w:tcPr>
            <w:tcW w:w="1985" w:type="dxa"/>
            <w:vMerge w:val="restart"/>
            <w:vAlign w:val="center"/>
          </w:tcPr>
          <w:p w:rsid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при застройке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в 3 - 5 этажей - 650 м,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1 - 2 этажа - 800 м.</w:t>
            </w:r>
          </w:p>
          <w:p w:rsid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Для подрайона 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 585 и 720 соответственно или</w:t>
            </w:r>
          </w:p>
          <w:p w:rsidR="00D92117" w:rsidRPr="0033273B" w:rsidRDefault="00D92117" w:rsidP="00B0712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30 мин</w:t>
            </w:r>
          </w:p>
        </w:tc>
      </w:tr>
      <w:tr w:rsidR="00D92117" w:rsidRPr="00D92117" w:rsidTr="0033273B">
        <w:trPr>
          <w:trHeight w:val="83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непродово</w:t>
            </w:r>
            <w:r w:rsidR="001D5108"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товаров повседневного спроса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 торговой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площади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180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3.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Предприятие </w:t>
            </w:r>
            <w:proofErr w:type="gramStart"/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общественного</w:t>
            </w:r>
            <w:proofErr w:type="gramEnd"/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питания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35</w:t>
            </w:r>
          </w:p>
        </w:tc>
        <w:tc>
          <w:tcPr>
            <w:tcW w:w="1842" w:type="dxa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2116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4.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F541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едприятие бытового обслуживания.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Непосредственного обслуживания населения: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чел.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="001D5108" w:rsidRPr="00332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</w:p>
        </w:tc>
        <w:tc>
          <w:tcPr>
            <w:tcW w:w="1842" w:type="dxa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Банки, операционные кассы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окно/1 тыс. жителей</w:t>
            </w:r>
          </w:p>
        </w:tc>
        <w:tc>
          <w:tcPr>
            <w:tcW w:w="993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2" w:type="dxa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При 2 операционных кассах - 0,2 га на объект,</w:t>
            </w:r>
          </w:p>
          <w:p w:rsidR="00C43581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при 7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операционных кассах - 0,5 га на объект*</w:t>
            </w: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vAlign w:val="center"/>
          </w:tcPr>
          <w:p w:rsidR="001D5108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Почта/отделение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связи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до 2 тыс. жителей - 0,3 га,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2 - 6 тыс. жителей - 0,4 га*</w:t>
            </w:r>
          </w:p>
        </w:tc>
        <w:tc>
          <w:tcPr>
            <w:tcW w:w="1134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:rsidR="00D92117" w:rsidRPr="0033273B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Рынки, ярмарки, базары**</w:t>
            </w:r>
          </w:p>
        </w:tc>
        <w:tc>
          <w:tcPr>
            <w:tcW w:w="1559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842" w:type="dxa"/>
            <w:vMerge w:val="restart"/>
          </w:tcPr>
          <w:p w:rsidR="00C43581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От 7 до 14 кв</w:t>
            </w:r>
            <w:proofErr w:type="gramStart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 xml:space="preserve"> на 1 кв.м торговой площади </w:t>
            </w:r>
          </w:p>
          <w:p w:rsidR="00D92117" w:rsidRPr="0033273B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33273B">
              <w:rPr>
                <w:rFonts w:ascii="Times New Roman" w:eastAsia="Times New Roman" w:hAnsi="Times New Roman" w:cs="Times New Roman"/>
                <w:lang w:eastAsia="ru-RU"/>
              </w:rPr>
              <w:t>рыночного комплекса</w:t>
            </w:r>
          </w:p>
        </w:tc>
        <w:tc>
          <w:tcPr>
            <w:tcW w:w="1134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92117" w:rsidRPr="0033273B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площадь</w:t>
            </w:r>
          </w:p>
        </w:tc>
        <w:tc>
          <w:tcPr>
            <w:tcW w:w="1559" w:type="dxa"/>
            <w:vMerge w:val="restart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 тыс. жителей</w:t>
            </w:r>
          </w:p>
        </w:tc>
        <w:tc>
          <w:tcPr>
            <w:tcW w:w="993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</w:tr>
      <w:tr w:rsidR="00D92117" w:rsidRPr="00D92117" w:rsidTr="0033273B">
        <w:trPr>
          <w:trHeight w:val="541"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559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D92117" w:rsidRDefault="00D92117" w:rsidP="001D5108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vMerge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</w:tr>
    </w:tbl>
    <w:p w:rsidR="00F54178" w:rsidRDefault="00F54178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(*) Расчетный показатель используется при размещении объекта в виде отдельно стоящего здания. При размещении в пристроенном помещении площади земельного участка суммируются с площадью земельного участка объекта, к которому осуществляется пристройка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(**)На рынках без канализации </w:t>
      </w:r>
      <w:bookmarkStart w:id="18" w:name="fts_hit2"/>
      <w:bookmarkEnd w:id="18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общественные туалеты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непроницаемыми выгребами следует располагать на расстоянии не менее 50 м от места торговли. Число расчетных мест в них должно быть не менее одного на каждые 50 торговых мест.</w:t>
      </w:r>
    </w:p>
    <w:p w:rsidR="00F54178" w:rsidRDefault="00F54178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9" w:name="_Toc500762875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Расчетные показатели, устанавливаемые для объектов местного значения в области рекреации</w:t>
      </w:r>
      <w:bookmarkEnd w:id="19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t>При проектировании объектов отдыха необходимо руководствоваться расчетными показателями таблицы 9.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242"/>
        <w:gridCol w:w="141"/>
        <w:gridCol w:w="1276"/>
        <w:gridCol w:w="1843"/>
        <w:gridCol w:w="992"/>
        <w:gridCol w:w="1258"/>
      </w:tblGrid>
      <w:tr w:rsidR="00D92117" w:rsidRPr="00D92117" w:rsidTr="004873F9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92117" w:rsidRPr="00B31F06" w:rsidRDefault="00D92117" w:rsidP="00AC728C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8" w:type="dxa"/>
            <w:vMerge w:val="restart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659" w:type="dxa"/>
            <w:gridSpan w:val="3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843" w:type="dxa"/>
            <w:vMerge w:val="restart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Площадь земельного участка</w:t>
            </w:r>
          </w:p>
        </w:tc>
        <w:tc>
          <w:tcPr>
            <w:tcW w:w="2250" w:type="dxa"/>
            <w:gridSpan w:val="2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4873F9">
        <w:trPr>
          <w:trHeight w:val="776"/>
          <w:tblHeader/>
        </w:trPr>
        <w:tc>
          <w:tcPr>
            <w:tcW w:w="703" w:type="dxa"/>
            <w:vMerge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8" w:type="dxa"/>
            <w:vMerge/>
            <w:vAlign w:val="center"/>
          </w:tcPr>
          <w:p w:rsidR="00D92117" w:rsidRPr="00B31F06" w:rsidRDefault="00D92117" w:rsidP="00883097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  <w:tc>
          <w:tcPr>
            <w:tcW w:w="1843" w:type="dxa"/>
            <w:vMerge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val="en-US" w:eastAsia="ru-RU"/>
              </w:rPr>
              <w:t>1.</w:t>
            </w:r>
          </w:p>
        </w:tc>
        <w:tc>
          <w:tcPr>
            <w:tcW w:w="25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Зона отдыха*</w:t>
            </w:r>
          </w:p>
        </w:tc>
        <w:tc>
          <w:tcPr>
            <w:tcW w:w="2659" w:type="dxa"/>
            <w:gridSpan w:val="3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</w:tc>
        <w:tc>
          <w:tcPr>
            <w:tcW w:w="1843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C4358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мин.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58" w:type="dxa"/>
            <w:vAlign w:val="center"/>
          </w:tcPr>
          <w:p w:rsidR="00D92117" w:rsidRPr="00B31F06" w:rsidRDefault="00D92117" w:rsidP="00883097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Calibri" w:hAnsi="Times New Roman" w:cs="Times New Roman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242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/чел.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3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C43581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мин.</w:t>
            </w:r>
          </w:p>
        </w:tc>
        <w:tc>
          <w:tcPr>
            <w:tcW w:w="1258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Пансионаты с лечением,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санаториях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, санаториях-профилакториях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 в зоне обслуживания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3 - 5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120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Пансионаты, дома отдыха**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130 - 200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Кемпинги и зеленые стоянки**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100 - 135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место;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8" w:type="dxa"/>
          </w:tcPr>
          <w:p w:rsidR="00D92117" w:rsidRPr="00B31F06" w:rsidRDefault="00D92117" w:rsidP="00883097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Туристические базы**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bottom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минимальная вместимость одного</w:t>
            </w:r>
          </w:p>
          <w:p w:rsidR="004873F9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должна составлять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20 мест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50 - 65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место;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8" w:type="dxa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Охотничьи, рыболовные базы**</w:t>
            </w:r>
          </w:p>
        </w:tc>
        <w:tc>
          <w:tcPr>
            <w:tcW w:w="1242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 тыс. жителей</w:t>
            </w:r>
          </w:p>
        </w:tc>
        <w:tc>
          <w:tcPr>
            <w:tcW w:w="1417" w:type="dxa"/>
            <w:gridSpan w:val="2"/>
            <w:vAlign w:val="bottom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 xml:space="preserve">2 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Минимальная вместимость одного </w:t>
            </w:r>
          </w:p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должна составлять 10 мест</w:t>
            </w:r>
          </w:p>
        </w:tc>
        <w:tc>
          <w:tcPr>
            <w:tcW w:w="1843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="00AC728C" w:rsidRPr="00B31F0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50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AC728C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Детские оздоровительные лагеря</w:t>
            </w:r>
          </w:p>
        </w:tc>
        <w:tc>
          <w:tcPr>
            <w:tcW w:w="1242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20 - 30</w:t>
            </w:r>
          </w:p>
        </w:tc>
        <w:tc>
          <w:tcPr>
            <w:tcW w:w="1843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150 - 180 </w:t>
            </w:r>
            <w:proofErr w:type="spell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Коммунальные гостиницы в административном центре поселения**</w:t>
            </w:r>
          </w:p>
        </w:tc>
        <w:tc>
          <w:tcPr>
            <w:tcW w:w="1242" w:type="dxa"/>
          </w:tcPr>
          <w:p w:rsidR="00AC728C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  <w:tc>
          <w:tcPr>
            <w:tcW w:w="1843" w:type="dxa"/>
          </w:tcPr>
          <w:p w:rsidR="00C43581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При вмести</w:t>
            </w:r>
            <w:proofErr w:type="gramEnd"/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мости гостиницы:</w:t>
            </w:r>
          </w:p>
          <w:p w:rsidR="00D92117" w:rsidRPr="00B31F06" w:rsidRDefault="00D92117" w:rsidP="00B31F06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25 до 100 мест  - 55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</w:t>
            </w:r>
            <w:r w:rsidR="00B31F06" w:rsidRPr="00B31F0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4873F9">
        <w:trPr>
          <w:trHeight w:val="836"/>
        </w:trPr>
        <w:tc>
          <w:tcPr>
            <w:tcW w:w="703" w:type="dxa"/>
            <w:vAlign w:val="center"/>
          </w:tcPr>
          <w:p w:rsidR="00D92117" w:rsidRPr="00B31F06" w:rsidRDefault="00D92117" w:rsidP="00AC728C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8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Туристские гостиницы**</w:t>
            </w:r>
          </w:p>
        </w:tc>
        <w:tc>
          <w:tcPr>
            <w:tcW w:w="1242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мест на 1 тыс. жителей</w:t>
            </w:r>
          </w:p>
        </w:tc>
        <w:tc>
          <w:tcPr>
            <w:tcW w:w="1417" w:type="dxa"/>
            <w:gridSpan w:val="2"/>
            <w:vAlign w:val="center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Calibri"/>
                <w:lang w:eastAsia="ru-RU"/>
              </w:rPr>
            </w:pPr>
            <w:r w:rsidRPr="00B31F06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  <w:tc>
          <w:tcPr>
            <w:tcW w:w="1843" w:type="dxa"/>
          </w:tcPr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При вместимости гостиницы: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25 до 50 мест - 75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место,</w:t>
            </w:r>
          </w:p>
          <w:p w:rsidR="00D92117" w:rsidRPr="00B31F06" w:rsidRDefault="00D92117" w:rsidP="00AC728C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от 50 до 100 мест - 55 кв</w:t>
            </w:r>
            <w:proofErr w:type="gramStart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B31F06">
              <w:rPr>
                <w:rFonts w:ascii="Times New Roman" w:eastAsia="Times New Roman" w:hAnsi="Times New Roman" w:cs="Times New Roman"/>
                <w:lang w:eastAsia="ru-RU"/>
              </w:rPr>
              <w:t xml:space="preserve"> на 1 место,</w:t>
            </w:r>
          </w:p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D92117" w:rsidRPr="00B31F06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Примечания: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а) 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Объекты, планируемые к размещению на территории ООПТ в расчет не включены</w:t>
      </w:r>
      <w:proofErr w:type="gramEnd"/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зоны отдыха формируемые на базе озелененных территорий общего пользования, природных и искусственных водоемов.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) (**)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в) 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50 га.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Calibri"/>
          <w:sz w:val="24"/>
          <w:szCs w:val="24"/>
          <w:lang w:eastAsia="ru-RU"/>
        </w:rPr>
        <w:t>Зоны отдыха следует размещать на расстоянии от автомобильных дорог общей сети не менее 500 м.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D471D6" w:rsidRDefault="00D471D6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0" w:name="_Toc50076287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7* Расчетные показатели, устанавливаемые для объектов местного значения в области энергетики и инженерной инфраструктуры (справочные)</w:t>
      </w:r>
      <w:bookmarkEnd w:id="2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7.1* Расчетные показатели объектов, относящихся к области электроснабжения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электрических сетей распространяется на вновь сооружаемые и реконструируемые электрические сети сельского поселения, в том числе на электрические сети к отдельным объектам, находящимся на территории сельского поселения, независимо от их ведомственной принадлежности согласно таблице 10.</w:t>
      </w:r>
    </w:p>
    <w:p w:rsidR="00C356E1" w:rsidRPr="00D92117" w:rsidRDefault="00C356E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Таблица 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3027"/>
      </w:tblGrid>
      <w:tr w:rsidR="00D92117" w:rsidRPr="005A68A9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8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</w:tr>
      <w:tr w:rsidR="00D92117" w:rsidRPr="005A68A9" w:rsidTr="003E7E59">
        <w:trPr>
          <w:trHeight w:val="776"/>
        </w:trPr>
        <w:tc>
          <w:tcPr>
            <w:tcW w:w="702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vAlign w:val="center"/>
          </w:tcPr>
          <w:p w:rsidR="00D92117" w:rsidRPr="005A68A9" w:rsidRDefault="00D92117" w:rsidP="00AC728C">
            <w:pPr>
              <w:spacing w:after="0" w:line="240" w:lineRule="auto"/>
              <w:ind w:left="284"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Величина</w:t>
            </w:r>
          </w:p>
        </w:tc>
      </w:tr>
      <w:tr w:rsidR="00D92117" w:rsidRPr="005A68A9" w:rsidTr="003E7E59">
        <w:trPr>
          <w:trHeight w:val="482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Электроэнергия, электропотребление *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A724B3">
            <w:pPr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5A68A9" w:rsidTr="003E7E59">
        <w:trPr>
          <w:trHeight w:val="693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5A68A9">
            <w:pPr>
              <w:autoSpaceDE w:val="0"/>
              <w:autoSpaceDN w:val="0"/>
              <w:adjustRightInd w:val="0"/>
              <w:spacing w:after="0" w:line="240" w:lineRule="auto"/>
              <w:ind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кВт·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</w:p>
        </w:tc>
      </w:tr>
      <w:tr w:rsidR="00D92117" w:rsidRPr="005A68A9" w:rsidTr="003E7E59">
        <w:trPr>
          <w:trHeight w:val="66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5A68A9">
            <w:pPr>
              <w:autoSpaceDE w:val="0"/>
              <w:autoSpaceDN w:val="0"/>
              <w:adjustRightInd w:val="0"/>
              <w:spacing w:after="0" w:line="240" w:lineRule="auto"/>
              <w:ind w:right="-319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кВт·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/ год на 1 чел.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</w:tr>
      <w:tr w:rsidR="00D92117" w:rsidRPr="005A68A9" w:rsidTr="003E7E59">
        <w:trPr>
          <w:trHeight w:val="83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D92117" w:rsidRPr="005A68A9" w:rsidRDefault="00D92117" w:rsidP="00A724B3">
            <w:pPr>
              <w:autoSpaceDE w:val="0"/>
              <w:autoSpaceDN w:val="0"/>
              <w:adjustRightIn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5A68A9" w:rsidTr="003E7E59">
        <w:trPr>
          <w:trHeight w:val="525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4100</w:t>
            </w:r>
          </w:p>
        </w:tc>
      </w:tr>
      <w:tr w:rsidR="00D92117" w:rsidRPr="005A68A9" w:rsidTr="003E7E59">
        <w:trPr>
          <w:trHeight w:val="836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Start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/год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4400</w:t>
            </w:r>
          </w:p>
        </w:tc>
      </w:tr>
      <w:tr w:rsidR="00D92117" w:rsidRPr="005A68A9" w:rsidTr="003E7E59">
        <w:trPr>
          <w:trHeight w:val="415"/>
        </w:trPr>
        <w:tc>
          <w:tcPr>
            <w:tcW w:w="702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69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D92117" w:rsidRPr="005A68A9" w:rsidRDefault="00AC728C" w:rsidP="00AC728C">
            <w:pPr>
              <w:autoSpaceDE w:val="0"/>
              <w:autoSpaceDN w:val="0"/>
              <w:adjustRightInd w:val="0"/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D92117" w:rsidRPr="005A68A9">
              <w:rPr>
                <w:rFonts w:ascii="Times New Roman" w:eastAsia="Times New Roman" w:hAnsi="Times New Roman" w:cs="Times New Roman"/>
                <w:lang w:eastAsia="ru-RU"/>
              </w:rPr>
              <w:t>кВт</w:t>
            </w:r>
          </w:p>
        </w:tc>
        <w:tc>
          <w:tcPr>
            <w:tcW w:w="3027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356E1" w:rsidRPr="005A68A9" w:rsidRDefault="00C356E1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условия применения стационарных электроплит в жилой застройке принимать в соответствии с </w:t>
      </w:r>
      <w:hyperlink r:id="rId16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54.13330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.2011.</w:t>
      </w:r>
    </w:p>
    <w:p w:rsidR="00D92117" w:rsidRPr="00D92117" w:rsidRDefault="00D92117" w:rsidP="00A724B3">
      <w:pPr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92117">
        <w:rPr>
          <w:rFonts w:ascii="Courier New" w:eastAsia="Times New Roman" w:hAnsi="Courier New" w:cs="Courier New"/>
          <w:sz w:val="24"/>
          <w:szCs w:val="24"/>
          <w:lang w:eastAsia="ru-RU"/>
        </w:rPr>
        <w:t>(</w:t>
      </w:r>
      <w:proofErr w:type="gramEnd"/>
      <w:r w:rsidRPr="00D92117">
        <w:rPr>
          <w:rFonts w:ascii="Courier New" w:eastAsia="Times New Roman" w:hAnsi="Courier New" w:cs="Courier New"/>
          <w:sz w:val="24"/>
          <w:szCs w:val="24"/>
          <w:lang w:eastAsia="ru-RU"/>
        </w:rPr>
        <w:t>*)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471D6" w:rsidRDefault="00D471D6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7.2* Расчетные показатели объектов, относящихся к области тепло-, газоснабжения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потребления газа определяется по таблице 11.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118"/>
      </w:tblGrid>
      <w:tr w:rsidR="00D92117" w:rsidRPr="00D92117" w:rsidTr="00D471D6">
        <w:trPr>
          <w:trHeight w:val="778"/>
          <w:tblHeader/>
        </w:trPr>
        <w:tc>
          <w:tcPr>
            <w:tcW w:w="567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</w:tr>
      <w:tr w:rsidR="00D92117" w:rsidRPr="00D92117" w:rsidTr="00D471D6">
        <w:trPr>
          <w:trHeight w:val="608"/>
          <w:tblHeader/>
        </w:trPr>
        <w:tc>
          <w:tcPr>
            <w:tcW w:w="567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668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Природный газ, при наличии </w:t>
            </w:r>
            <w:proofErr w:type="gram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централи-</w:t>
            </w:r>
            <w:proofErr w:type="spell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зованного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год</w:t>
            </w:r>
          </w:p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D92117" w:rsidTr="003E7E59">
        <w:trPr>
          <w:trHeight w:val="706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Природный газ, при горячем </w:t>
            </w:r>
            <w:proofErr w:type="spellStart"/>
            <w:proofErr w:type="gramStart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водоснаб-жении</w:t>
            </w:r>
            <w:proofErr w:type="spellEnd"/>
            <w:proofErr w:type="gramEnd"/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год</w:t>
            </w:r>
          </w:p>
          <w:p w:rsidR="00D92117" w:rsidRPr="005A68A9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5A68A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A68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D92117" w:rsidRPr="00D92117" w:rsidTr="003E7E59">
        <w:trPr>
          <w:trHeight w:val="689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Природный газ, </w:t>
            </w:r>
            <w:r w:rsidRPr="00D9211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D92117" w:rsidRPr="00D92117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год</w:t>
            </w:r>
          </w:p>
          <w:p w:rsidR="00D92117" w:rsidRPr="00D92117" w:rsidRDefault="00D92117" w:rsidP="00AF56A3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92117" w:rsidRPr="00D92117" w:rsidTr="003E7E59">
        <w:trPr>
          <w:trHeight w:val="571"/>
        </w:trPr>
        <w:tc>
          <w:tcPr>
            <w:tcW w:w="567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39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Тепловая нагрузка, 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D92117" w:rsidRPr="00D92117" w:rsidRDefault="00D92117" w:rsidP="00AF56A3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B3471F" w:rsidRDefault="00B3471F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(***)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7.3* Расчетные показатели объектов, относящихся к области водоснабжения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водопотребления  определяется по таблице 12.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D92117" w:rsidRPr="00A8705D" w:rsidTr="003E7E59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C7B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Hop</w:t>
            </w: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мы</w:t>
            </w:r>
            <w:proofErr w:type="spellEnd"/>
            <w:proofErr w:type="gramEnd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расхода воды</w:t>
            </w:r>
          </w:p>
          <w:p w:rsidR="005A3C7B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(в том числе горячей),</w:t>
            </w:r>
          </w:p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A8705D">
              <w:rPr>
                <w:rFonts w:ascii="Times New Roman" w:eastAsia="Times New Roman" w:hAnsi="Times New Roman" w:cs="Times New Roman"/>
                <w:position w:val="14"/>
                <w:lang w:eastAsia="ru-RU"/>
              </w:rPr>
              <w:t xml:space="preserve"> 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на человека в </w:t>
            </w:r>
            <w:r w:rsidR="00890DC6" w:rsidRPr="00A8705D">
              <w:rPr>
                <w:rFonts w:ascii="Times New Roman" w:eastAsia="Times New Roman" w:hAnsi="Times New Roman" w:cs="Times New Roman"/>
                <w:lang w:eastAsia="ru-RU"/>
              </w:rPr>
              <w:t>сутки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Многоквартирные жилые дома: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Гостиницы 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общими ваннами и душами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Поликлиники и амбулатории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больной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 дневным пребыванием детей/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Банки, административные здания для размещения административных помещений и офисов/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 xml:space="preserve">Школы, школы   специализированные, учреждения среднего специального и высшего образования, учебные центры с душевыми при гимнастических залах и буфетами, 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1,71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Магазины</w:t>
            </w:r>
          </w:p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Продовольственные (без холодильных установок)/ 1 работник в смену или 20 м</w:t>
            </w:r>
            <w:r w:rsidRPr="00A8705D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2492D9C" wp14:editId="5C679A54">
                  <wp:extent cx="106680" cy="220980"/>
                  <wp:effectExtent l="0" t="0" r="7620" b="7620"/>
                  <wp:docPr id="7" name="Рисунок 7" descr="Описание: 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Промтоварные</w:t>
            </w:r>
            <w:proofErr w:type="gramEnd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Автосалоны, совмещенные с мастерскими,</w:t>
            </w:r>
            <w:r w:rsidRPr="00A8705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5A3C7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Дома быта, ателье, пункты проката, химчистки, ремонт обуви, фотоателье,</w:t>
            </w:r>
            <w:r w:rsidRPr="00A8705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парикмахерские, ритуальные услуги, ремонтные мастерские</w:t>
            </w:r>
            <w:proofErr w:type="gram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Кинотеатры, театры, клубы и досугово-развлекательные учреждения/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зрителей/ 1 человек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napToGrid w:val="0"/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A8705D" w:rsidTr="003E7E59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A8705D" w:rsidTr="003E7E59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D92117" w:rsidRPr="00A8705D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8705D" w:rsidRDefault="00A8705D" w:rsidP="00A8705D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</w:p>
    <w:p w:rsidR="00D92117" w:rsidRPr="00D92117" w:rsidRDefault="00D92117" w:rsidP="00A8705D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4"/>
          <w:szCs w:val="30"/>
          <w:lang w:eastAsia="ru-RU"/>
        </w:rPr>
        <w:t>7.4* Расчетные показатели объектов, относящихся к области водоотведения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проектировании систем водоотведения удельное среднесуточное (за год) водоотведение должно приниматься по таблице 13.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134"/>
      </w:tblGrid>
      <w:tr w:rsidR="00D92117" w:rsidRPr="00A8705D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D92117" w:rsidRPr="00A8705D" w:rsidRDefault="00FE4992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proofErr w:type="gramStart"/>
            <w:r w:rsidR="00D92117"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="00D92117"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A8705D" w:rsidTr="00CC514B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D92117" w:rsidRPr="00A8705D" w:rsidRDefault="00CC514B" w:rsidP="00CC514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от </w:t>
            </w:r>
            <w:r w:rsidR="00D92117"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</w:t>
            </w: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от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A8705D" w:rsidTr="003E7E59">
        <w:trPr>
          <w:trHeight w:val="836"/>
        </w:trPr>
        <w:tc>
          <w:tcPr>
            <w:tcW w:w="702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551" w:type="dxa"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Дождевая канализация.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spacing w:val="-20"/>
                <w:lang w:eastAsia="ru-RU"/>
              </w:rPr>
              <w:t>Суточный  объем  поверхностного стока, поступающий   на  очистные сооружения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3 </w:t>
            </w: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 </w:t>
            </w:r>
            <w:proofErr w:type="spellStart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</w:t>
            </w:r>
            <w:proofErr w:type="spellEnd"/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 1 га территории</w:t>
            </w:r>
          </w:p>
        </w:tc>
        <w:tc>
          <w:tcPr>
            <w:tcW w:w="1276" w:type="dxa"/>
            <w:vAlign w:val="center"/>
          </w:tcPr>
          <w:p w:rsidR="00D92117" w:rsidRPr="00A8705D" w:rsidRDefault="00D92117" w:rsidP="00CC514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A8705D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A8705D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A8705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Примечания: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1" w:name="_Toc500762877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8. Расчетные показатели, устанавливаемые для объектов местного значения в области автомобильных дорог местного значения</w:t>
      </w:r>
      <w:bookmarkEnd w:id="21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автомобильных дорог местного значения рекомендуется руководствоваться расчетными показателями таблицы 14.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14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134"/>
      </w:tblGrid>
      <w:tr w:rsidR="00D92117" w:rsidRPr="00FE4992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FE4992" w:rsidRDefault="00E659E5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№№  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E659E5" w:rsidRPr="00FE4992" w:rsidRDefault="00E659E5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59E5" w:rsidRPr="00FE4992" w:rsidRDefault="00E659E5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</w:t>
            </w:r>
          </w:p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допустимый уровень территориальной доступности</w:t>
            </w:r>
          </w:p>
        </w:tc>
      </w:tr>
      <w:tr w:rsidR="00D92117" w:rsidRPr="00FE4992" w:rsidTr="00E659E5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FE4992" w:rsidTr="003E7E59">
        <w:trPr>
          <w:trHeight w:val="836"/>
        </w:trPr>
        <w:tc>
          <w:tcPr>
            <w:tcW w:w="702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51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Calibri" w:hAnsi="Times New Roman" w:cs="Times New Roman"/>
                <w:lang w:eastAsia="ru-RU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км/1000 </w:t>
            </w:r>
            <w:proofErr w:type="spell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</w:t>
            </w:r>
          </w:p>
        </w:tc>
      </w:tr>
      <w:tr w:rsidR="00D92117" w:rsidRPr="00FE4992" w:rsidTr="003E7E59">
        <w:trPr>
          <w:trHeight w:val="836"/>
        </w:trPr>
        <w:tc>
          <w:tcPr>
            <w:tcW w:w="702" w:type="dxa"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551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Calibri" w:hAnsi="Times New Roman" w:cs="Times New Roman"/>
                <w:lang w:eastAsia="ru-RU"/>
              </w:rPr>
              <w:t>автомобильные дороги местного значения в границах населенных пунктов поселения</w:t>
            </w:r>
          </w:p>
        </w:tc>
        <w:tc>
          <w:tcPr>
            <w:tcW w:w="1843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км/1 </w:t>
            </w:r>
            <w:proofErr w:type="spell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D92117" w:rsidRPr="00FE4992" w:rsidRDefault="00D92117" w:rsidP="00E659E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9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D92117" w:rsidRPr="00FE4992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FE4992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Категории улиц и дорог городов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назначать в соответствии с классификацией, приведенной в таблице 14а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14а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6"/>
        <w:gridCol w:w="6664"/>
      </w:tblGrid>
      <w:tr w:rsidR="00D92117" w:rsidRPr="00D92117" w:rsidTr="003E7E59">
        <w:trPr>
          <w:trHeight w:val="15"/>
        </w:trPr>
        <w:tc>
          <w:tcPr>
            <w:tcW w:w="225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825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Категория дорог и улиц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Основное назначение дорог и улиц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улицы сельского поселения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Местные улицы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связь жилой застройки с основными улицами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Местные дороги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связи жилых и производственных территорий, обслуживают производственные территории</w:t>
            </w:r>
          </w:p>
        </w:tc>
      </w:tr>
      <w:tr w:rsidR="00D92117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Проезды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D92117" w:rsidRPr="00D92117" w:rsidRDefault="00D92117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Обеспечивают непосредственный подъезд к участкам жилой, производственной и общественной застройки</w:t>
            </w:r>
          </w:p>
        </w:tc>
      </w:tr>
      <w:tr w:rsidR="0091630C" w:rsidRPr="00D92117" w:rsidTr="003E7E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91630C" w:rsidRPr="00D92117" w:rsidRDefault="0091630C" w:rsidP="00A724B3">
            <w:pPr>
              <w:shd w:val="clear" w:color="auto" w:fill="FFFFFF"/>
              <w:spacing w:before="24" w:after="24" w:line="336" w:lineRule="atLeast"/>
              <w:ind w:left="284" w:right="-319" w:firstLine="426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Велосипедные дорожки</w:t>
            </w:r>
          </w:p>
        </w:tc>
        <w:tc>
          <w:tcPr>
            <w:tcW w:w="7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59" w:type="dxa"/>
              <w:bottom w:w="15" w:type="dxa"/>
              <w:right w:w="59" w:type="dxa"/>
            </w:tcMar>
          </w:tcPr>
          <w:p w:rsidR="0091630C" w:rsidRPr="00D92117" w:rsidRDefault="0091630C" w:rsidP="001E0E35">
            <w:pPr>
              <w:shd w:val="clear" w:color="auto" w:fill="FFFFFF"/>
              <w:spacing w:before="24" w:after="24" w:line="336" w:lineRule="atLeast"/>
              <w:ind w:right="-319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630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Связь жилой застройки с местами отдыха, объектами массового посещения, а в крупных городских округах - связь в пределах планировочных районов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26B" w:rsidRDefault="0003726B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параметры сельских улиц и дорог следует принимать по таблице 14б.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14б</w:t>
      </w:r>
    </w:p>
    <w:tbl>
      <w:tblPr>
        <w:tblW w:w="99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850"/>
        <w:gridCol w:w="993"/>
        <w:gridCol w:w="1134"/>
        <w:gridCol w:w="1134"/>
        <w:gridCol w:w="992"/>
        <w:gridCol w:w="1134"/>
        <w:gridCol w:w="1134"/>
        <w:gridCol w:w="1134"/>
      </w:tblGrid>
      <w:tr w:rsidR="00D92117" w:rsidRPr="00D92117" w:rsidTr="007F57C2">
        <w:trPr>
          <w:trHeight w:val="15"/>
        </w:trPr>
        <w:tc>
          <w:tcPr>
            <w:tcW w:w="1433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92117" w:rsidRPr="00D92117" w:rsidRDefault="00D92117" w:rsidP="00A724B3">
            <w:pPr>
              <w:spacing w:after="0" w:line="245" w:lineRule="atLeast"/>
              <w:ind w:left="284" w:right="-319" w:firstLine="426"/>
              <w:rPr>
                <w:rFonts w:ascii="Arial" w:eastAsia="Times New Roman" w:hAnsi="Arial" w:cs="Arial"/>
                <w:color w:val="000000"/>
                <w:sz w:val="2"/>
                <w:szCs w:val="24"/>
                <w:lang w:eastAsia="ru-RU"/>
              </w:rPr>
            </w:pP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сельских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улиц и </w:t>
            </w:r>
          </w:p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дорог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Расчетная скорость движения,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/ч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Ширина полосы движения, 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Число полос движения (суммарно в двух</w:t>
            </w:r>
            <w:proofErr w:type="gramEnd"/>
          </w:p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напра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лениях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кривых в плане без виража, 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Наибол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продоль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уклон, 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вертика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льной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выпуклой кривой,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Наимен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ший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радиус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вертика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льной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вогнутой кривой, 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Ширина 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пешех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дной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 части тротуара, м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улицы </w:t>
            </w: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1,5-2,25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Местные улицы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Местные дороги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1,0 (</w:t>
            </w:r>
            <w:proofErr w:type="spell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допу</w:t>
            </w:r>
            <w:proofErr w:type="gramStart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br/>
              <w:t>кается устраивать с одной стороны)</w:t>
            </w:r>
          </w:p>
        </w:tc>
      </w:tr>
      <w:tr w:rsidR="00D92117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402B92" w:rsidRDefault="00D92117" w:rsidP="001E0E35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B92">
              <w:rPr>
                <w:rFonts w:ascii="Times New Roman" w:eastAsia="Times New Roman" w:hAnsi="Times New Roman" w:cs="Times New Roman"/>
                <w:lang w:eastAsia="ru-RU"/>
              </w:rPr>
              <w:t>Проезды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402B92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02B9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D92117" w:rsidRPr="001E0E35" w:rsidRDefault="00D92117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535CA" w:rsidRPr="001E0E35" w:rsidTr="007F57C2"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3535C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Велосипедные дорожки</w:t>
            </w:r>
            <w:r w:rsidR="007F57C2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: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обособленные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изолируемые</w:t>
            </w: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Pr="003535CA" w:rsidRDefault="007F57C2" w:rsidP="003535CA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  <w:p w:rsidR="007F57C2" w:rsidRPr="003535CA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1-2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  <w:p w:rsidR="007F57C2" w:rsidRDefault="007F57C2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57C2" w:rsidRPr="001E0E35" w:rsidRDefault="007F57C2" w:rsidP="007F57C2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8" w:type="dxa"/>
              <w:bottom w:w="15" w:type="dxa"/>
              <w:right w:w="48" w:type="dxa"/>
            </w:tcMar>
          </w:tcPr>
          <w:p w:rsidR="003535CA" w:rsidRDefault="003535CA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67186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7186" w:rsidRPr="001E0E35" w:rsidRDefault="00867186" w:rsidP="001E0E35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D471D6" w:rsidRPr="001E0E35" w:rsidRDefault="00D471D6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lang w:eastAsia="ru-RU"/>
        </w:rPr>
      </w:pPr>
    </w:p>
    <w:p w:rsidR="00721B29" w:rsidRDefault="00721B29" w:rsidP="00A724B3">
      <w:pPr>
        <w:ind w:left="284" w:right="-319" w:firstLine="426"/>
        <w:rPr>
          <w:rFonts w:ascii="Times New Roman" w:eastAsia="Times New Roman" w:hAnsi="Times New Roman" w:cs="Times New Roman"/>
          <w:lang w:eastAsia="ru-RU"/>
        </w:rPr>
      </w:pP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8.1 Расчетные показатели, устанавливаемые для объектов местного значения в области транспорта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117">
        <w:rPr>
          <w:rFonts w:ascii="Times New Roman" w:eastAsia="Calibri" w:hAnsi="Times New Roman" w:cs="Times New Roman"/>
          <w:sz w:val="24"/>
          <w:szCs w:val="24"/>
        </w:rPr>
        <w:t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14а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984"/>
        <w:gridCol w:w="1945"/>
        <w:gridCol w:w="2526"/>
        <w:gridCol w:w="2973"/>
      </w:tblGrid>
      <w:tr w:rsidR="00D92117" w:rsidRPr="00D92117" w:rsidTr="00721B29">
        <w:trPr>
          <w:trHeight w:val="778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  <w:p w:rsidR="00D92117" w:rsidRPr="00721B2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268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Площадь земельного участка</w:t>
            </w:r>
          </w:p>
        </w:tc>
        <w:tc>
          <w:tcPr>
            <w:tcW w:w="1492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pct"/>
            <w:vAlign w:val="center"/>
          </w:tcPr>
          <w:p w:rsidR="00721B29" w:rsidRDefault="00721B29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00317" w:rsidRPr="00721B29">
              <w:rPr>
                <w:rFonts w:ascii="Times New Roman" w:eastAsia="Times New Roman" w:hAnsi="Times New Roman" w:cs="Times New Roman"/>
                <w:lang w:eastAsia="ru-RU"/>
              </w:rPr>
              <w:t>танции</w:t>
            </w:r>
          </w:p>
          <w:p w:rsidR="00D92117" w:rsidRPr="00721B29" w:rsidRDefault="00A00317" w:rsidP="00721B29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D92117" w:rsidRPr="00721B29">
              <w:rPr>
                <w:rFonts w:ascii="Times New Roman" w:eastAsia="Times New Roman" w:hAnsi="Times New Roman" w:cs="Times New Roman"/>
                <w:lang w:eastAsia="ru-RU"/>
              </w:rPr>
              <w:t>хнического</w:t>
            </w:r>
            <w:proofErr w:type="spellEnd"/>
            <w:r w:rsidR="00D92117"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обслуживания автомобилей (СТО)</w:t>
            </w: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1 пост СТО на 200 легковых автомобилей</w:t>
            </w:r>
          </w:p>
        </w:tc>
        <w:tc>
          <w:tcPr>
            <w:tcW w:w="1268" w:type="pct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В зависимости от количества постов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СТО, га: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10 постов - 1,0;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15 постов - 1,5;</w:t>
            </w:r>
          </w:p>
        </w:tc>
        <w:tc>
          <w:tcPr>
            <w:tcW w:w="1492" w:type="pct"/>
            <w:vMerge w:val="restar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Расчетный показатель применяется к территории населенных пунктов</w:t>
            </w: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автозаправочные станции (АЗС)</w:t>
            </w:r>
          </w:p>
        </w:tc>
        <w:tc>
          <w:tcPr>
            <w:tcW w:w="976" w:type="pct"/>
            <w:vAlign w:val="center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топливораздаточ</w:t>
            </w:r>
            <w:proofErr w:type="spellEnd"/>
          </w:p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ная</w:t>
            </w:r>
            <w:proofErr w:type="spell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колонка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1200 легковых автомобилей</w:t>
            </w:r>
          </w:p>
        </w:tc>
        <w:tc>
          <w:tcPr>
            <w:tcW w:w="1268" w:type="pct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В зависимости от количества колонок на АЗС, га: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2 колонки - 0,1;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5 колонок - 0,2;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 на 7 колонок - 0,3;</w:t>
            </w:r>
          </w:p>
        </w:tc>
        <w:tc>
          <w:tcPr>
            <w:tcW w:w="1492" w:type="pct"/>
            <w:vMerge/>
            <w:vAlign w:val="center"/>
          </w:tcPr>
          <w:p w:rsidR="00D92117" w:rsidRPr="00721B2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117" w:rsidRPr="00D92117" w:rsidTr="00721B29">
        <w:trPr>
          <w:trHeight w:val="836"/>
        </w:trPr>
        <w:tc>
          <w:tcPr>
            <w:tcW w:w="268" w:type="pc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pct"/>
            <w:vAlign w:val="center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постоянного хранения легкового автомобильного транспорта</w:t>
            </w:r>
          </w:p>
        </w:tc>
        <w:tc>
          <w:tcPr>
            <w:tcW w:w="976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350 мест на 1000 жителей</w:t>
            </w:r>
          </w:p>
        </w:tc>
        <w:tc>
          <w:tcPr>
            <w:tcW w:w="1268" w:type="pct"/>
          </w:tcPr>
          <w:p w:rsid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Для наземных 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автостоянок - 25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 xml:space="preserve"> на одно </w:t>
            </w:r>
            <w:proofErr w:type="spellStart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1492" w:type="pct"/>
            <w:vAlign w:val="center"/>
          </w:tcPr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Подрайон 1Д при уклоне местности до 5% - 600м;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5-10% - 500 м.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Подрайон 1В при уклоне местности до 5% - 700м;</w:t>
            </w:r>
          </w:p>
          <w:p w:rsidR="00D92117" w:rsidRPr="00721B2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B29">
              <w:rPr>
                <w:rFonts w:ascii="Times New Roman" w:eastAsia="Times New Roman" w:hAnsi="Times New Roman" w:cs="Times New Roman"/>
                <w:lang w:eastAsia="ru-RU"/>
              </w:rPr>
              <w:t>5-10% - 600 м</w:t>
            </w:r>
          </w:p>
        </w:tc>
      </w:tr>
      <w:tr w:rsidR="00D92117" w:rsidRPr="00E36069" w:rsidTr="00721B29">
        <w:trPr>
          <w:trHeight w:val="836"/>
        </w:trPr>
        <w:tc>
          <w:tcPr>
            <w:tcW w:w="268" w:type="pct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6" w:type="pct"/>
            <w:vAlign w:val="center"/>
          </w:tcPr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открытые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стоянках временного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хранения легковых автомобилей</w:t>
            </w:r>
          </w:p>
        </w:tc>
        <w:tc>
          <w:tcPr>
            <w:tcW w:w="976" w:type="pct"/>
            <w:vAlign w:val="center"/>
          </w:tcPr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350 мест на 1000 жителей</w:t>
            </w:r>
          </w:p>
        </w:tc>
        <w:tc>
          <w:tcPr>
            <w:tcW w:w="1268" w:type="pct"/>
          </w:tcPr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Для наземных автостоянок - 25 </w:t>
            </w: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на одно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1492" w:type="pct"/>
            <w:vAlign w:val="center"/>
          </w:tcPr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Пешеходные подходы от стоянок временного хранения легковых автомобилей,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721B29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до входов 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жилые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дома - 100;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до пассажирских помещений вокзалов, входов в крупные организации и объекты торговли и общественного 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питания - 150;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 до прочих предприятий и организаций обслуживания населения и административных зданий - 250;</w:t>
            </w:r>
          </w:p>
          <w:p w:rsidR="00D92117" w:rsidRPr="00E36069" w:rsidRDefault="00D92117" w:rsidP="00A00317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- до входов в парки, на выставки и стадионы - 400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069">
        <w:rPr>
          <w:rFonts w:ascii="Times New Roman" w:eastAsia="Times New Roman" w:hAnsi="Times New Roman" w:cs="Times New Roman"/>
          <w:lang w:eastAsia="ru-RU"/>
        </w:rPr>
        <w:lastRenderedPageBreak/>
        <w:t>Примечание</w:t>
      </w:r>
      <w:proofErr w:type="gramStart"/>
      <w:r w:rsidRPr="00E36069">
        <w:rPr>
          <w:rFonts w:ascii="Times New Roman" w:eastAsia="Times New Roman" w:hAnsi="Times New Roman" w:cs="Times New Roman"/>
          <w:lang w:eastAsia="ru-RU"/>
        </w:rPr>
        <w:t xml:space="preserve"> (*) </w:t>
      </w:r>
      <w:proofErr w:type="gramEnd"/>
      <w:r w:rsidRPr="00E36069">
        <w:rPr>
          <w:rFonts w:ascii="Times New Roman" w:eastAsia="Times New Roman" w:hAnsi="Times New Roman" w:cs="Times New Roman"/>
          <w:lang w:eastAsia="ru-RU"/>
        </w:rPr>
        <w:t>Из расчета для 70% расчетного парка индивидуальных легковых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автомобилей, в том числе: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жилые районы - 25%;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промышленные и коммунально-складские зоны (районы) - 25%;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общегородские и специализированные центры - 5%;</w:t>
      </w: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зоны массового кратковременного отдыха - 15%</w:t>
      </w:r>
      <w:r w:rsidR="00091A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1A9E" w:rsidRDefault="00091A9E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9E" w:rsidRPr="00D92117" w:rsidRDefault="00091A9E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A462DC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2" w:name="_Toc500762878"/>
      <w:r w:rsidRPr="00A46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</w:r>
      <w:bookmarkEnd w:id="22"/>
    </w:p>
    <w:p w:rsidR="00D92117" w:rsidRPr="00A462DC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  <w:proofErr w:type="gramEnd"/>
    </w:p>
    <w:p w:rsidR="00D92117" w:rsidRPr="00A462DC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2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D92117" w:rsidRPr="00A462DC" w:rsidRDefault="00D92117" w:rsidP="00A724B3">
      <w:pPr>
        <w:suppressAutoHyphens/>
        <w:spacing w:after="12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462D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D92117" w:rsidRP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Arial"/>
          <w:sz w:val="24"/>
          <w:szCs w:val="24"/>
          <w:lang w:eastAsia="ru-RU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 зоны.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Санитарно-защитные зоны от промышленных и коммунально-складских предприятий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назначаются согласно нормативными показателями таблицы 15.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15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D92117" w:rsidRPr="00D92117" w:rsidTr="003E7E59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Наименование предприятия,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Размер СЗЗ, м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Производства лесопильные 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Деревообрабатывающее производство,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Промышленные объекты и производств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Промышленные объекты и производства  (хлебопекарные, молочные и маслобойные,      производства, –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Фермы крупного рогатого скота более 100 и  менее 1200 голов (всех специализаций), фермы коневодческие, овцеводческие на 5-30 тыс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олов,. птицеводческие до 100 тыс.кур-несушек и до 1 млн.бройлеров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з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верофермы,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- 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Хозяйства с содержанием животных (свинарники, коровники, питомники, конюшни, зверофермы) до 50 голов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- 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  <w:proofErr w:type="gramEnd"/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Кладбища смешанного и традиционного захоронения площадью 10 и менее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Котельные, ТЭЦ,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III 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класс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ласс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Площадка временного складирования ТБО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мусороперегрузочные станции, класс</w:t>
            </w: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606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D92117" w:rsidRPr="00D92117" w:rsidTr="003E7E59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724B3">
            <w:pPr>
              <w:tabs>
                <w:tab w:val="left" w:pos="432"/>
              </w:tabs>
              <w:spacing w:after="12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E36069" w:rsidRDefault="00D92117" w:rsidP="00A10394">
            <w:pPr>
              <w:spacing w:after="12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E3606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Default="00D92117" w:rsidP="00A724B3">
      <w:pPr>
        <w:suppressAutoHyphens/>
        <w:spacing w:after="120" w:line="240" w:lineRule="auto"/>
        <w:ind w:left="284" w:right="-319" w:firstLine="426"/>
        <w:rPr>
          <w:rFonts w:ascii="Times New Roman" w:eastAsia="Times New Roman" w:hAnsi="Times New Roman" w:cs="Times New Roman"/>
          <w:lang w:eastAsia="ar-SA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) (*) </w:t>
      </w:r>
      <w:proofErr w:type="gramEnd"/>
      <w:r w:rsidRPr="00D92117">
        <w:rPr>
          <w:rFonts w:ascii="Times New Roman" w:eastAsia="Times New Roman" w:hAnsi="Times New Roman" w:cs="Times New Roman"/>
          <w:lang w:eastAsia="ar-SA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  <w:r w:rsidR="00D471D6">
        <w:rPr>
          <w:rFonts w:ascii="Times New Roman" w:eastAsia="Times New Roman" w:hAnsi="Times New Roman" w:cs="Times New Roman"/>
          <w:lang w:eastAsia="ar-SA"/>
        </w:rPr>
        <w:t>.</w:t>
      </w:r>
    </w:p>
    <w:p w:rsidR="00D471D6" w:rsidRPr="00D92117" w:rsidRDefault="00D471D6" w:rsidP="00A724B3">
      <w:pPr>
        <w:suppressAutoHyphens/>
        <w:spacing w:after="120" w:line="240" w:lineRule="auto"/>
        <w:ind w:left="284" w:right="-319" w:firstLine="426"/>
        <w:rPr>
          <w:rFonts w:ascii="Times New Roman" w:eastAsia="Times New Roman" w:hAnsi="Times New Roman" w:cs="Times New Roman"/>
          <w:b/>
          <w:lang w:eastAsia="ar-SA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3" w:name="_Toc50076287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</w:t>
      </w:r>
      <w:bookmarkEnd w:id="23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Инженерно-технические мероприятия ГО и ЧС должны предусматриваться с учетом категорий объектов по ГО, а также с учетом отнесения территорий к группам по ГО, при разработке следующих градостроительных документов: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территориальных комплексных схем градостроительного планирования развития территории республики и ее частей;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генеральных планов поселений;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черты населенных пунктов;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проектов планировки районов и кварталов жилой зоны, групп общественных зданий и сооружений;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межевания территорий.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спасательных работ и действий по тушению пожаров необходимо разрабатывать мероприятия согласно СП 4.13130.2013: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1.Ограничить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автолестниц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(автоподъемников) с учетом доступа с них в каждую квартиру или помещение; пожарных водоемов, количество и объем которых определяется расчетом согласно п.9 СП 8.13130.2009.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D92117" w:rsidRPr="00D92117" w:rsidRDefault="00D92117" w:rsidP="00A724B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автонасосов - 200 м;</w:t>
      </w:r>
    </w:p>
    <w:p w:rsidR="00D92117" w:rsidRPr="00D92117" w:rsidRDefault="00D92117" w:rsidP="00A724B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мотопомп - 100 - 150 м в зависимости от технических возможностей мотопомп.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разработке проектов планировки определить места размещения разворотных площадок во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территориях, размерами 15х15 метров.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D92117" w:rsidRPr="00D92117" w:rsidRDefault="00D92117" w:rsidP="00E36069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4" w:name="_Toc500762880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Расчетные показатели, устанавливаемые для объектов местного значения в области утилизации и переработки бытовых и промышленных отходов</w:t>
      </w:r>
      <w:bookmarkEnd w:id="24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утилизации и переработки бытовых и промышленных отходов необходимо руководствоваться расчетными показателями таблицы 16.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275"/>
        <w:gridCol w:w="1418"/>
      </w:tblGrid>
      <w:tr w:rsidR="00D92117" w:rsidRPr="00D92117" w:rsidTr="00A10394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A10394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275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га/10 </w:t>
            </w:r>
            <w:proofErr w:type="spell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ел</w:t>
            </w:r>
            <w:proofErr w:type="spellEnd"/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2693" w:type="dxa"/>
            <w:gridSpan w:val="2"/>
            <w:vAlign w:val="center"/>
          </w:tcPr>
          <w:p w:rsidR="00A10394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Полигоны размещаются</w:t>
            </w:r>
          </w:p>
          <w:p w:rsidR="00A10394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по территориальному принципу за пределами населенных пунктов. Площадь участка под складирование отходов может быть выражена </w:t>
            </w:r>
          </w:p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как в одном, так и в нескольких полигонах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объектами сбора и вывоза твердых бытовых отходов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проживающих в муниципальном жилом фонде</w:t>
            </w:r>
          </w:p>
        </w:tc>
        <w:tc>
          <w:tcPr>
            <w:tcW w:w="1843" w:type="dxa"/>
            <w:vMerge w:val="restart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/чел. в год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нормируется*</w:t>
            </w: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объектами сбора и вывоза твердых бытовых отходов </w:t>
            </w: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 xml:space="preserve"> проживающих в индивидуальном жилом фонде</w:t>
            </w:r>
          </w:p>
        </w:tc>
        <w:tc>
          <w:tcPr>
            <w:tcW w:w="1843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общее количество бытовых отходов по населенному пункту с учетом общественных зданий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/чел. в год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693" w:type="dxa"/>
            <w:gridSpan w:val="2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117" w:rsidRPr="00D92117" w:rsidTr="00A10394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1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Calibri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A10394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Примечания:</w:t>
      </w:r>
    </w:p>
    <w:p w:rsidR="00D92117" w:rsidRPr="00D92117" w:rsidRDefault="00D92117" w:rsidP="00A724B3">
      <w:pPr>
        <w:shd w:val="clear" w:color="auto" w:fill="FFFFFF"/>
        <w:spacing w:after="0" w:line="240" w:lineRule="auto"/>
        <w:ind w:left="284" w:right="-319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(*) </w:t>
      </w:r>
      <w:proofErr w:type="gramEnd"/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Уровень территориальной доступности объектов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утилизации и переработки бытовых и промышленных отходов</w:t>
      </w:r>
      <w:r w:rsidRPr="00D92117">
        <w:rPr>
          <w:rFonts w:ascii="Times New Roman" w:eastAsia="Calibri" w:hAnsi="Times New Roman" w:cs="Times New Roman"/>
          <w:sz w:val="24"/>
          <w:szCs w:val="24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тыс. т твердых бытовых отходов в год: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предприятия по промышленной переработке бытовых отходов - 0,05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(кроме полигонов по обезвреживанию и захоронению токсичных промышленных отходов) - 0,05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 компостирования - 0,5 - 1,0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сливные станции - 0,02 га,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мусороперегрузочные станции - 0,04 га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санитарно-защитной зоны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Санитарно-защитные зоны устанавливаются в соответствии с </w:t>
      </w:r>
      <w:hyperlink r:id="rId18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2.2.1/2.1.1.1200-03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защитного барьера, обеспечивающим уровень безопасности населения при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Устанавливаются в зависимости от вида предприятия и сооружения: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полигоны твердых бытовых отходов, участки компостирования твердых бытовых отходов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мусоросжигательные и мусороперерабатывающие объекты мощностью от 40 тыс. т в год - 1000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мусоросжигательные и мусороперерабатывающие объекты мощностью до 40 тыс. т в год - 500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мусороперегрузочные станции - 100 м;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 компостирования - 500 м;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сливные станции - 500 м</w:t>
      </w:r>
    </w:p>
    <w:p w:rsidR="003E7E59" w:rsidRDefault="003E7E59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5" w:name="_Toc500762881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12. Расчетные показатели, устанавливаемые для объектов местного значения в области захоронений</w:t>
      </w:r>
      <w:bookmarkEnd w:id="25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117">
        <w:rPr>
          <w:rFonts w:ascii="Times New Roman" w:eastAsia="Calibri" w:hAnsi="Times New Roman" w:cs="Times New Roman"/>
          <w:color w:val="000000"/>
          <w:sz w:val="24"/>
          <w:szCs w:val="24"/>
        </w:rPr>
        <w:t>При проектировании объектов местного значения в области захоронений необходимо руководствоваться расчетными показателями таблицы 17.</w:t>
      </w:r>
    </w:p>
    <w:p w:rsidR="00D92117" w:rsidRPr="00D92117" w:rsidRDefault="00D92117" w:rsidP="00A724B3">
      <w:pPr>
        <w:spacing w:after="0" w:line="240" w:lineRule="auto"/>
        <w:ind w:left="284" w:right="-319" w:firstLine="42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17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D92117" w:rsidRPr="00D92117" w:rsidTr="003E7E59">
        <w:trPr>
          <w:trHeight w:val="778"/>
        </w:trPr>
        <w:tc>
          <w:tcPr>
            <w:tcW w:w="702" w:type="dxa"/>
            <w:vMerge w:val="restart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9" w:type="dxa"/>
            <w:vMerge w:val="restart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D92117" w:rsidRPr="00D92117" w:rsidTr="003E7E59">
        <w:trPr>
          <w:trHeight w:val="625"/>
        </w:trPr>
        <w:tc>
          <w:tcPr>
            <w:tcW w:w="702" w:type="dxa"/>
            <w:vMerge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9" w:type="dxa"/>
            <w:vMerge/>
            <w:vAlign w:val="center"/>
          </w:tcPr>
          <w:p w:rsidR="00D92117" w:rsidRPr="00E36069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Величина</w:t>
            </w:r>
          </w:p>
        </w:tc>
      </w:tr>
      <w:tr w:rsidR="00D92117" w:rsidRPr="00D92117" w:rsidTr="003E7E59">
        <w:trPr>
          <w:trHeight w:val="836"/>
        </w:trPr>
        <w:tc>
          <w:tcPr>
            <w:tcW w:w="702" w:type="dxa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9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Calibri" w:hAnsi="Times New Roman" w:cs="Times New Roman"/>
              </w:rPr>
              <w:t>кладбища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36069">
              <w:rPr>
                <w:rFonts w:ascii="Times New Roman" w:eastAsia="Calibri" w:hAnsi="Times New Roman" w:cs="Times New Roman"/>
              </w:rPr>
              <w:t>га</w:t>
            </w:r>
            <w:proofErr w:type="gramEnd"/>
            <w:r w:rsidRPr="00E36069">
              <w:rPr>
                <w:rFonts w:ascii="Times New Roman" w:eastAsia="Calibri" w:hAnsi="Times New Roman" w:cs="Times New Roman"/>
              </w:rPr>
              <w:t>/1000 чел.</w:t>
            </w:r>
          </w:p>
        </w:tc>
        <w:tc>
          <w:tcPr>
            <w:tcW w:w="1276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  <w:p w:rsidR="00E239DB" w:rsidRPr="00E36069" w:rsidRDefault="00E239DB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 не</w:t>
            </w:r>
          </w:p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0,16га/ объект</w:t>
            </w:r>
          </w:p>
        </w:tc>
        <w:tc>
          <w:tcPr>
            <w:tcW w:w="1701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left="284"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lang w:eastAsia="ru-RU"/>
              </w:rPr>
              <w:t>транспортная доступность, мин</w:t>
            </w:r>
          </w:p>
        </w:tc>
        <w:tc>
          <w:tcPr>
            <w:tcW w:w="1134" w:type="dxa"/>
            <w:vAlign w:val="center"/>
          </w:tcPr>
          <w:p w:rsidR="00D92117" w:rsidRPr="00E36069" w:rsidRDefault="00D92117" w:rsidP="00E239DB">
            <w:pPr>
              <w:spacing w:after="0" w:line="240" w:lineRule="auto"/>
              <w:ind w:right="-31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0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</w:tbl>
    <w:p w:rsidR="00D92117" w:rsidRPr="00DB0C98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Toc500762882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13. </w:t>
      </w:r>
      <w:r w:rsidRPr="00DB0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Иные расчетные показатели, </w:t>
      </w:r>
      <w:r w:rsidR="000F1223" w:rsidRPr="00DB0C98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необходимые для подготовки документов территориального планирования, </w:t>
      </w:r>
      <w:r w:rsidRPr="00DB0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документации по планировке территорий - область  обеспечения благоприятных условий жизнедеятельности населения, категории маломобильных, инвалидов и пожилых людей</w:t>
      </w:r>
      <w:bookmarkEnd w:id="26"/>
    </w:p>
    <w:p w:rsidR="000F1223" w:rsidRPr="00DB0C98" w:rsidRDefault="000F1223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Основополагающий блок документов:</w:t>
      </w: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59.13330.2012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«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 зданий и сооружений для маломобильных групп населения".</w:t>
      </w:r>
    </w:p>
    <w:p w:rsidR="00D92117" w:rsidRPr="00D92117" w:rsidRDefault="00D92117" w:rsidP="00A724B3">
      <w:pPr>
        <w:shd w:val="clear" w:color="auto" w:fill="FFFFFF"/>
        <w:spacing w:after="0" w:line="299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35-102-2001 "Жилая среда с планировочными элементами, доступными инвалидам";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 35-103-2001 "Общественные здания и сооружения, доступные маломобильным посетителям";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 35-104-2001 "Здания и помещения с местами труда для инвалидов".</w:t>
      </w: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Calibri" w:hAnsi="Times New Roman" w:cs="Times New Roman"/>
          <w:caps/>
          <w:sz w:val="24"/>
          <w:szCs w:val="24"/>
          <w:lang w:eastAsia="ru-RU"/>
        </w:rPr>
      </w:pPr>
    </w:p>
    <w:p w:rsidR="00D92117" w:rsidRPr="00D92117" w:rsidRDefault="00D92117" w:rsidP="00A724B3">
      <w:pPr>
        <w:tabs>
          <w:tab w:val="left" w:pos="1129"/>
        </w:tabs>
        <w:spacing w:after="0" w:line="200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Благоприятные условия жизнедеятельности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маломобильных групп населения МГН это система:</w:t>
      </w:r>
    </w:p>
    <w:p w:rsidR="00CB307A" w:rsidRPr="00D92117" w:rsidRDefault="00CB307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земельным участкам и  путям движения 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707D11" wp14:editId="6D7AE03F">
            <wp:extent cx="114300" cy="121920"/>
            <wp:effectExtent l="0" t="0" r="0" b="0"/>
            <wp:docPr id="6" name="Рисунок 6" descr="Описание: 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lhh9xx9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1,8 м для обеспечения возможности разъезда инвалидов на креслах-колясках.</w:t>
      </w:r>
      <w:proofErr w:type="gramEnd"/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Высоту бордюров по краям пешеходных путей на территории рекомендуется принимать не менее 0,05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D92117" w:rsidRPr="00D92117" w:rsidRDefault="00D92117" w:rsidP="00A724B3">
      <w:pPr>
        <w:tabs>
          <w:tab w:val="righ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Входы в здания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проступей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следует принимать от 0,35 до 0,4 м, высоту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подступенка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Поперечный уклон ступеней должен быть не более 2%.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Поверхность ступеней должна иметь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антискользящее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покрытие и быть шероховатой.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 следует применять на путях движения МГН ступеней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открытыми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подступенками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Лестницы должны дублироваться пандусами или подъемными устройствами.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 между поручнями пандуса должна быть в пределах 0,9-1,0 м.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Пандус с расчетной длиной 36,0 м и более или высотой более 3,0 м следует заменять подъемными устройствами.</w:t>
      </w:r>
    </w:p>
    <w:p w:rsidR="00D92117" w:rsidRPr="00D92117" w:rsidRDefault="00D92117" w:rsidP="00A724B3">
      <w:pPr>
        <w:shd w:val="clear" w:color="auto" w:fill="FFFFFF"/>
        <w:spacing w:before="24" w:after="24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F9C062" wp14:editId="11562DDF">
            <wp:extent cx="114300" cy="121920"/>
            <wp:effectExtent l="0" t="0" r="0" b="0"/>
            <wp:docPr id="5" name="Рисунок 5" descr="Описание: 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2si3ddnc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1,5 м, а в зонах интенсивного использования не менее 2,1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22A7551" wp14:editId="21E36BD6">
            <wp:extent cx="114300" cy="121920"/>
            <wp:effectExtent l="0" t="0" r="0" b="0"/>
            <wp:docPr id="4" name="Рисунок 4" descr="Описание: 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ltzlzfb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2,1 м. Свободные зоны должны быть также предусмотрены при каждом изменении направления пандуса.</w:t>
      </w:r>
      <w:proofErr w:type="gramEnd"/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51261. Расстояние между поручнями должно быть в пределах 0,9-1,0 м.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Колесоотбойные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устройства высотой 0,1 м следует устанавливать на промежуточных площадках и на съезде.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входной площадки при открывании полотна дверей наружу должны быть не менее 1,4х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 м или 1,5х1,85 м. Размеры входной площадки с пандусом не менее 2,2х2,2 м.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D92117" w:rsidRPr="00D92117" w:rsidRDefault="00D92117" w:rsidP="00A724B3">
      <w:pPr>
        <w:shd w:val="clear" w:color="auto" w:fill="FFFFFF"/>
        <w:spacing w:after="0" w:line="253" w:lineRule="atLeast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Глубина тамбуров и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тамбур-шлюзов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прямом движении и одностороннем открывании дверей должна быть не менее 2,3 при ширине не менее 1,50 м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Автостоянки для инвалидов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ACA831" wp14:editId="76BD2329">
            <wp:extent cx="114300" cy="121920"/>
            <wp:effectExtent l="0" t="0" r="0" b="0"/>
            <wp:docPr id="3" name="Рисунок 3" descr="Описание: 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nh00kfwv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3,6 м, что дает возможность создать безопасную зону сбоку и сзади машины - 1,2 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tabs>
          <w:tab w:val="right" w:pos="0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Благоустройство территории  и места отдых</w:t>
      </w:r>
      <w:proofErr w:type="gramStart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т.п.</w:t>
      </w:r>
    </w:p>
    <w:p w:rsidR="002B5F7B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36069" w:rsidRPr="00F602CD" w:rsidRDefault="00E36069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B5F7B" w:rsidRPr="00F602CD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02CD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</w:t>
      </w:r>
      <w:r w:rsidRPr="00F602CD">
        <w:rPr>
          <w:rFonts w:ascii="Times New Roman" w:hAnsi="Times New Roman" w:cs="Times New Roman"/>
          <w:b/>
          <w:color w:val="FF0000"/>
          <w:sz w:val="28"/>
          <w:szCs w:val="28"/>
        </w:rPr>
        <w:t>14. Велосипедные дорожки</w:t>
      </w:r>
    </w:p>
    <w:p w:rsidR="002B5F7B" w:rsidRPr="002B5F7B" w:rsidRDefault="002B5F7B" w:rsidP="00A724B3">
      <w:pPr>
        <w:pStyle w:val="ConsPlusNormal"/>
        <w:ind w:left="284" w:right="-319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необходимо выбрать вариант движения велосипедистов: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проезжей части, или вне ее;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использованием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совмещенной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другими участниками движения (пешеходами или автомобилями);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использованием велодорожки с односторонним или двухсторонним движением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 проектировании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инфраструктуры осуществляется: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выявление возможностей использования территории поселения, городского округа для обеспечения движения велосипедистов, включая: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эффективности совершаемых поездок за счет: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дифференцирования велосипедного движения по расстоянию, скорости, времени;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совмещения и разделения движения велосипедистов;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интермодальности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реорганизации дорожного движения;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внедрение новых транспортных решений и видов транспортного обслуживания населения;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анализ существующих условий и перспектив развития и размещения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инфраструктуры, оценка нормативной правовой базы, необходимой для функционирования и 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инфраструктуры, и оценка объемов финансирования транспортной инфраструктуры с учетом развития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планировании создания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функции маршрутов движения велосипедистов (далее -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маршруты), включая пересечения, должны соответствовать функциям элементов совокупности дорог на территории поселения, городского округа (далее - сеть дорог), по которым проложены указанные маршруты.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показателей, характеризующих текущее состояние и проблемы развития перемещения велосипедистов в поселении, городском округе, учет потребности 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инфраструктуре осуществляется в рамках градостроительной деятельности на уровне поселения, городского округа.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Планировочная структура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(далее - ВТС) на уровне поселения, городского округа включает: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городского значения, обеспечивающие деловые поездки по взаимосвязанным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велотранспортным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поселения, городского округа указанные велодорожки располагаются в зоне наиболее активных перемещений велосипедистов, формируя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маршрут, соединяющий территориальные образования (жилые зоны, офисные и образовательные центры, др.);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(внутриквартальные дороги и проезды), обеспечивающие связи внутри районов и микрорайонов).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планировочным требованиям характеризуются следующие типы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маршрутов: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городского значения - характеризуются максимальным разделением велосипедистов, пешеходов и механических транспортных средств.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таких 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районного значения - размещаются в основном вдоль дорог с интенсивным движением транспортных средс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тв. 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в основном в зонах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ограничения скорости движения транспорта до 40 км/ч;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предназначены для перемещений велосипедистов в рамках жилого массива или двух смежных жилых 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проектировании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для формирования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Первоочередные задачи проектирования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потоков велосипедистов, пешеходов и автомобильного транспорта.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обосновании мероприятий по обеспечению безопасности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необходимо учитывать принцип максимального предупреждения опасной ситуации.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велодорожек за пределами населенных пунктов следует руководствоваться ГОСТ 33150-2014 "Дороги автомобильные общего пользования. Проектирование пешеходных и велосипедных дорожек. Общие требования".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Проектируемые и существующие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и иные объекты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должны обеспечивать безопасные условия движения велосипедистов и пешеходов.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велодорожек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B12ABE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проектировании велодорожек следует учитывать следующие факторы:</w:t>
      </w:r>
    </w:p>
    <w:p w:rsidR="002B5F7B" w:rsidRPr="002B5F7B" w:rsidRDefault="002B5F7B" w:rsidP="00B12ABE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(категория);</w:t>
      </w:r>
    </w:p>
    <w:p w:rsid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пространственное окружение (тип застройки, в пределах застройки или вне застроенной территории);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транспортная ситуация (интенсивность движения и скорость движения транспортных средств);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функциональное назначение (</w:t>
      </w:r>
      <w:proofErr w:type="gramStart"/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связующая</w:t>
      </w:r>
      <w:proofErr w:type="gramEnd"/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распределяющая или обеспечивающая непосредственный доступ);</w:t>
      </w:r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велодорожек (в том числе доступная ширина, количество полос).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 разметкой 1.2 (сплошной линией). Стоянка и остановка транспортных средств за исключением остановочных пунктов, устройство парковок 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  <w:proofErr w:type="gramEnd"/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и иных объектов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в пределах существующих объектов, указанных в п. 10.6.14, следует предусматривать разделение потоков транспорта,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пешеходов.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07A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 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следует соблюдать следующие рекомендации: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решетки водостока, размещаемые при необходимости 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дорожках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должны выполняться со щелями, направленными поперек направления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 (далее -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52289-2019). При разработке архитектурно-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планировочных решений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вдоль внутриквартальных проездов и проходов.</w:t>
      </w:r>
    </w:p>
    <w:p w:rsidR="00CB307A" w:rsidRPr="002B5F7B" w:rsidRDefault="00CB307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дорожки образующие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велотранспортные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Веломаршруты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 "Технические средства организации дорожного движения. Искусственные неровности. Общие технические требования. Правила применения" (далее - ГОСТ 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дворах жилых домов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устраиваются.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883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населенных пунктах при движении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</w:t>
      </w:r>
    </w:p>
    <w:p w:rsidR="00D44883" w:rsidRDefault="00D44883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движения. При организации движения во встречных направлениях, или при устройстве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велопешеходных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доступности велодорожек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разных групп велосипедистов, в том числе мало подготовленных физически, без учета ширины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велодорожки, разделяются по следующим категориям: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веломаршрутов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основными объектами тяготения не превышает 2,5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нормальные условия - подразделяются на две подгруппы: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"а"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  <w:proofErr w:type="gramEnd"/>
    </w:p>
    <w:p w:rsidR="002B5F7B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5F7B"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B12ABE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"б"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уклонах от 26% до 40% имеется значительное количество неровностей (не более 20% от общей площади поверхности) высотой до 6 мм и/или незначительное количество неровностей (не более 5% от общей площади поверхности) высотой до 10 мм;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протяженность маршрутов движения (при отсутствии уклонов более 25% и 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сложные условия, подразделяющиеся на три подгруппы: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B12ABE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ABE" w:rsidRPr="002B5F7B" w:rsidRDefault="00B12ABE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</w:t>
      </w:r>
      <w:proofErr w:type="spellStart"/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B12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(далее - ВТС) в зависимости от вида поездки и категории (группы) велосипедистов приведены в таблице </w:t>
      </w:r>
    </w:p>
    <w:p w:rsidR="00D44883" w:rsidRPr="00B12ABE" w:rsidRDefault="00D44883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218"/>
        <w:gridCol w:w="3142"/>
        <w:gridCol w:w="2402"/>
      </w:tblGrid>
      <w:tr w:rsidR="002B5F7B" w:rsidRPr="00B12ABE" w:rsidTr="00983CEE">
        <w:trPr>
          <w:trHeight w:val="12"/>
        </w:trPr>
        <w:tc>
          <w:tcPr>
            <w:tcW w:w="1848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2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2" w:type="dxa"/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Категория велосипедиста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Виды поездок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Особенности велосипедиста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Требования к ВТС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Дети - учащиеся младших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развлекательные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Навыки пользования велосипедом не развиты, мало знаний </w:t>
            </w:r>
            <w:hyperlink r:id="rId20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требуют наблюдения и контроля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Вне проезжей части, выделенная на тротуаре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велополоса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отдельная велодорожка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Дети - учащиеся старших классов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развлекательные, целевые (поездки в школу, магазин)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Хороший уровень владения велосипедом, развитая уверенность, низкий уровень соблюдения </w:t>
            </w:r>
            <w:hyperlink r:id="rId21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вне проезжей части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Взрослые, семьи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из пригорода в город и обратно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2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с обеспечением мероприятий для успокоения транспортных потоков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B12ABE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целевые (поездки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за</w:t>
            </w:r>
            <w:r w:rsidR="002B5F7B"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покупками</w:t>
            </w:r>
            <w:proofErr w:type="spellEnd"/>
            <w:r w:rsidR="002B5F7B"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, деловые поездки)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3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неоднородны. Поездки для определенных целей, поездки на расстояние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до 10 - 15 км, регулярные поездки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по местным дорогам с обеспечением мероприятий для успокоения транспортных потоков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рекреационные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4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 неоднородны.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Поездки к местам отдыха (паркам, водоемам)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Велодорожки и </w:t>
            </w: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вне проезжей части</w:t>
            </w:r>
          </w:p>
        </w:tc>
      </w:tr>
      <w:tr w:rsidR="002B5F7B" w:rsidRPr="00B12ABE" w:rsidTr="00983CEE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туристические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Опыт, развитые навыки пользования велосипедом, знания и соблюдение </w:t>
            </w:r>
            <w:hyperlink r:id="rId25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</w:t>
            </w:r>
          </w:p>
          <w:p w:rsid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Поездки на расстояние более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10 - 15 км, часть поездок группами по объектам туристической привлекательности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left="284"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Использование всех видов ВТС</w:t>
            </w:r>
          </w:p>
        </w:tc>
      </w:tr>
      <w:tr w:rsidR="002B5F7B" w:rsidRPr="00B12ABE" w:rsidTr="00983CEE"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спортивные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Опыт, развитые навыки пользования велосипедом, </w:t>
            </w: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>знания и соблюдение </w:t>
            </w:r>
            <w:hyperlink r:id="rId26" w:history="1">
              <w:r w:rsidRPr="00B12ABE">
                <w:rPr>
                  <w:rFonts w:ascii="Times New Roman" w:eastAsia="Times New Roman" w:hAnsi="Times New Roman" w:cs="Times New Roman"/>
                  <w:color w:val="00466E"/>
                  <w:u w:val="single"/>
                  <w:lang w:eastAsia="ru-RU"/>
                </w:rPr>
                <w:t>правил дорожного движения</w:t>
              </w:r>
            </w:hyperlink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.</w:t>
            </w:r>
          </w:p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B12ABE" w:rsidRDefault="002B5F7B" w:rsidP="00B12ABE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spellStart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>Велополосы</w:t>
            </w:r>
            <w:proofErr w:type="spellEnd"/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 для шоссейных видов </w:t>
            </w:r>
            <w:r w:rsidRPr="00B12ABE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lastRenderedPageBreak/>
              <w:t>соревнований, велотреки и внедорожные полигоны для других видов соревнований</w:t>
            </w:r>
          </w:p>
        </w:tc>
      </w:tr>
    </w:tbl>
    <w:p w:rsidR="002B5F7B" w:rsidRPr="00B12ABE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2ABE">
        <w:rPr>
          <w:rFonts w:ascii="Times New Roman" w:eastAsia="Times New Roman" w:hAnsi="Times New Roman" w:cs="Times New Roman"/>
          <w:lang w:eastAsia="ru-RU"/>
        </w:rPr>
        <w:lastRenderedPageBreak/>
        <w:tab/>
      </w:r>
      <w:r w:rsidRPr="00B12ABE">
        <w:rPr>
          <w:rFonts w:ascii="Times New Roman" w:eastAsia="Times New Roman" w:hAnsi="Times New Roman" w:cs="Times New Roman"/>
          <w:lang w:eastAsia="ru-RU"/>
        </w:rPr>
        <w:tab/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проезжей части магистральных улиц общегородского значения 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элементов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не допускается.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благоустройства, парковка вдоль улицы).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местных улицах устройство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цветом и/или разметкой при ограничении скорости не более 40 км/ч.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 размещения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непрерывными, при пересечении других улиц разрывы в велодорожках не допускается;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перекрестках изменение направления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углом более 120° не допускаются;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правая сторона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пересечение улиц при невозможности выделения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велополосы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велополоса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B8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Минимально допустимые расчетные показатели проектирования велосипедных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дорожек</w:t>
      </w:r>
    </w:p>
    <w:p w:rsidR="00F10B88" w:rsidRPr="00F10B88" w:rsidRDefault="00F10B8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1478"/>
        <w:gridCol w:w="1479"/>
        <w:gridCol w:w="2616"/>
      </w:tblGrid>
      <w:tr w:rsidR="002B5F7B" w:rsidRPr="002B5F7B" w:rsidTr="000D2567">
        <w:trPr>
          <w:trHeight w:val="12"/>
        </w:trPr>
        <w:tc>
          <w:tcPr>
            <w:tcW w:w="406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9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61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Нормируемый параметр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D2567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Минимальные значения в стесненных &lt;1&gt; и особо стесненных &lt;2&gt; условиях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Расчетная скорость движения,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/ч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 &lt;1&gt; (15 &lt;2&gt;)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проезжей части одной полосы велодорожки,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не менее: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однополосного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1,3 &lt;1&gt; (1,2 &lt;2&gt;)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двухполосного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одностороннего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двухполосного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со встречным движением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велодорожки и тротуара с выделением велодорожки цветом покрытия,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4,0 &lt;1&gt;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Ширина обочин отдельно устроенной велодорожки,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применяется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Наименьший радиус кривых в плане,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- при отсутствии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при устройстве виража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223D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Максимальный продольный уклон,</w:t>
            </w:r>
          </w:p>
          <w:p w:rsidR="002B5F7B" w:rsidRPr="002B5F7B" w:rsidRDefault="002B5F7B" w:rsidP="0005223D">
            <w:pPr>
              <w:spacing w:after="0" w:line="315" w:lineRule="atLeast"/>
              <w:ind w:right="-319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о/</w:t>
            </w: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оо</w:t>
            </w:r>
            <w:proofErr w:type="spell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&lt;3&gt;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60</w:t>
            </w:r>
          </w:p>
        </w:tc>
      </w:tr>
      <w:tr w:rsidR="002B5F7B" w:rsidRPr="002B5F7B" w:rsidTr="000D2567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Габарит по высоте,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</w:t>
            </w:r>
            <w:proofErr w:type="gramEnd"/>
          </w:p>
          <w:p w:rsidR="00EA22EC" w:rsidRPr="002B5F7B" w:rsidRDefault="00EA22EC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2,5</w:t>
            </w:r>
          </w:p>
        </w:tc>
      </w:tr>
    </w:tbl>
    <w:p w:rsidR="002B5F7B" w:rsidRPr="002B5F7B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  <w:t>________________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особо стесненными условиями понимаются ширина тротуара 3,0 м и менее вдоль улиц с одной полосой движения в каждом направлении.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DA" w:rsidRPr="008863BD" w:rsidRDefault="002B5F7B" w:rsidP="003043DA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С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требований </w:t>
      </w:r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доступности велодорожек и </w:t>
      </w:r>
      <w:proofErr w:type="spellStart"/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велополос</w:t>
      </w:r>
      <w:proofErr w:type="spellEnd"/>
      <w:r w:rsidR="003043DA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для разных групп велосипедистов</w:t>
      </w:r>
      <w:r w:rsidR="003043DA" w:rsidRP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размещении велодорожек необходимо обеспечить расстояние: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проезжей части, опор, деревьев - 0,5 - 0,75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тротуаров - 0,25 - 0,5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парковок автомобилей, киосков, остановочных пунктов - 0,5 - 0,75 м;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элементов озеленения, урн, малых архитектурных форм - 0,5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8863BD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Велодорожки в пределах городских кварталов и районов массовой жилой застройки должны проектироваться с учетом </w:t>
      </w:r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доступности велодорожек и </w:t>
      </w:r>
      <w:proofErr w:type="spellStart"/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велополос</w:t>
      </w:r>
      <w:proofErr w:type="spellEnd"/>
      <w:r w:rsidR="008863BD" w:rsidRPr="008863B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для разных групп велосипедистов</w:t>
      </w:r>
      <w:r w:rsidR="008863BD" w:rsidRP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велотранспортной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Велосипедные парковки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торговых центров, обзорных площадок, музеев, пересадочных узлов, иных объектов.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Габаритные размеры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велосипед принимаются в размере не менее 1,2 м</w:t>
      </w:r>
      <w:proofErr w:type="gram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длине парковочного места не менее 2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устройстве многорядной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обеспечен проезд (проход) между рядами шириной не менее 1,5 м.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2B5F7B" w:rsidRPr="003043DA" w:rsidRDefault="002B5F7B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 xml:space="preserve"> </w:t>
      </w:r>
      <w:r w:rsidRPr="003043DA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Рекомендуемые значения количества парковочных мест для велосипедов указаны в таблице </w:t>
      </w:r>
    </w:p>
    <w:p w:rsidR="00612CB6" w:rsidRPr="002B5F7B" w:rsidRDefault="00612CB6" w:rsidP="00A724B3">
      <w:pPr>
        <w:shd w:val="clear" w:color="auto" w:fill="FFFFFF"/>
        <w:spacing w:after="0" w:line="315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4066"/>
      </w:tblGrid>
      <w:tr w:rsidR="002B5F7B" w:rsidRPr="002B5F7B" w:rsidTr="00983CEE">
        <w:trPr>
          <w:trHeight w:val="12"/>
        </w:trPr>
        <w:tc>
          <w:tcPr>
            <w:tcW w:w="5359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2B5F7B" w:rsidRPr="002B5F7B" w:rsidRDefault="002B5F7B" w:rsidP="00A724B3">
            <w:pPr>
              <w:spacing w:after="0" w:line="240" w:lineRule="auto"/>
              <w:ind w:left="284" w:right="-319" w:firstLine="426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Типы объектов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Число парковочных мест для велосипедов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Основной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4 - 6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Районный торговый центр (универмаг)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5 - 7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Местный торговый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6 - 8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Офисные учреждения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2 - 4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площади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Начальная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30 на 100 школьников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Средняя школа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50 на 100 школьников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Высшего образования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60 на 100 студентов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Закрытый спортивный центр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Спортивная площадка с трибуной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Спортивная площадка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поле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Бассейн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15 на 100 м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proofErr w:type="gramEnd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водной поверхности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Концертный зал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Кинотеатр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Крупная дискотека;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Крупная дискотека; </w:t>
            </w:r>
            <w:proofErr w:type="spell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негородская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Больница; городская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Больница; областная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20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Дом </w:t>
            </w:r>
            <w:proofErr w:type="gramStart"/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престарелых</w:t>
            </w:r>
            <w:proofErr w:type="gramEnd"/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10 на 100 кроватей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Места отдыха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20 - 35 на 100 посетителей</w:t>
            </w:r>
          </w:p>
        </w:tc>
      </w:tr>
      <w:tr w:rsidR="002B5F7B" w:rsidRPr="002B5F7B" w:rsidTr="00983CEE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Аттракционы/тематические парки развлечений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B5F7B" w:rsidRPr="002B5F7B" w:rsidRDefault="002B5F7B" w:rsidP="00A724B3">
            <w:pPr>
              <w:spacing w:after="0" w:line="315" w:lineRule="atLeast"/>
              <w:ind w:left="284" w:right="-319" w:firstLine="426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B5F7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10 - 15 на 100 посетителей</w:t>
            </w:r>
          </w:p>
        </w:tc>
      </w:tr>
    </w:tbl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Уличные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Велопарковки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велопарковок</w:t>
      </w:r>
      <w:proofErr w:type="spellEnd"/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использовать антивандальные материалы.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2B5F7B" w:rsidRPr="002B5F7B" w:rsidRDefault="002B5F7B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Default="00DB0C98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63BD" w:rsidRDefault="008863BD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CB6" w:rsidRPr="002B5F7B" w:rsidRDefault="00612CB6" w:rsidP="00612CB6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безопасности велосипедного движения</w:t>
      </w:r>
    </w:p>
    <w:p w:rsidR="00612CB6" w:rsidRPr="002B5F7B" w:rsidRDefault="00612CB6" w:rsidP="00612CB6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передвижения велосипедистов организовывать в соответствии с методическим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5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</w:t>
      </w:r>
      <w:r w:rsidR="00CD5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CB6" w:rsidRDefault="00612CB6" w:rsidP="00612CB6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 Сооружения и устройства для хранения и обслуживания транспортных средств</w:t>
      </w:r>
    </w:p>
    <w:p w:rsidR="005E4BAD" w:rsidRPr="00DB0C98" w:rsidRDefault="005E4BAD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городских и сельских поселениях следует предусматривать территории для постоянного хранения, временного хранения и технического обслуживания легковых автомобилей всех категорий исходя из уровня насыщения легковыми автомобилями.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Пешеходную доступность гаражей и стоянок постоянного хранения транспортных сре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сл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едует принимать в зависимости от местных условий не более значений, приведенных в таблице: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B0C98">
        <w:rPr>
          <w:rFonts w:ascii="Times New Roman" w:eastAsia="Times New Roman" w:hAnsi="Times New Roman" w:cs="Times New Roman"/>
          <w:lang w:eastAsia="ru-RU"/>
        </w:rPr>
        <w:t>Пешеходная доступность гаражей и стоянок постоянного хранения транспортных средств</w:t>
      </w:r>
      <w:r w:rsidRPr="00DB0C98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033"/>
        <w:gridCol w:w="2218"/>
        <w:gridCol w:w="2845"/>
      </w:tblGrid>
      <w:tr w:rsidR="00DB0C98" w:rsidRPr="00DB0C98" w:rsidTr="00DB0C98">
        <w:trPr>
          <w:trHeight w:val="12"/>
        </w:trPr>
        <w:tc>
          <w:tcPr>
            <w:tcW w:w="2402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 местности, %</w:t>
            </w:r>
          </w:p>
        </w:tc>
        <w:tc>
          <w:tcPr>
            <w:tcW w:w="7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Доступность гаражей и стоянок, </w:t>
            </w: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строительно-климатических подрайонов:</w:t>
            </w:r>
          </w:p>
        </w:tc>
      </w:tr>
      <w:tr w:rsidR="00DB0C98" w:rsidRPr="00DB0C98" w:rsidTr="00DB0C98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DB0C98" w:rsidRPr="00DB0C98" w:rsidTr="00DB0C98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до 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Сооружения для постоянного хранения легковых автомобилей следует проектировать: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дорог, на овражистых территориях, участках с резким перепадом рельефа;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 на территориях жилых районов и микрорайонов (кварталов), в том числе в пределах улиц и дорог, граничащих с жилыми районами и микрорайонами (кварталами).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Участки для размещения гаражей и стоянок должны заблаговременно резервироваться на всех этапах проектирования и строительства и осваиваться по мере роста парка индивидуальных транспортных средств.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Открытые стоянки для постоянного хранения автомобилей целесообразно временно размещать на участках, резервируемых для перспективного строительства объектов и сооружений различного функционального назначения.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Гаражи и открытые стоянки для хранения легковых автомобилей вместимостью более 500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следует размещать на территориях производственных и коммунально-складских зон.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Гаражи для легковых автомобилей, встроенные или встроенно-пристроенные к жилым и общественным зданиям (за исключением общеобразовательных организаций, дошкольных образовательных организаций, медицинских организаций со стационаром и культурно-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зрелищных организаций), необходимо предусматривать в соответствии с требованиями СП 54.13330.2016, СП 55.13330.2016, СП 118.13330.2012, СП 113.13330.2016.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В строительно-климатическом подрайоне 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допускается проектировать подземные гаражи-стоянки, размещая их под общественными и жилыми зданиями, а также на незастроенной территории - под проездами, улицами, площадями, скверами, газонами, хозяйственными площадками, гостевыми автостоянками, при условии выполнения нормативных требований организации въездов в гаражи и выездов из них.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Подземные гаражи запрещается проектировать под зданиями дошкольных образовательных и общеобразовательных организаций, в том числе спальных корпусов, организаций дополнительного образования детей, профессиональных образовательных организаций, больниц, специализированных домов престарелых и инвалидов.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Размещение в жилой застройке гаражей боксового типа допускается для постоянного хранения автомобилей и других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мототранспортных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средств, принадлежащих инвалидам, следует предусматривать в радиусе пешеходной доступности не более 200 м от входов в жилые дома. Число мест устанавливается нормами или принимается по заданию на проектирование. Размещение гаражей не должно нарушать архитектурный облик застройки.</w:t>
      </w:r>
    </w:p>
    <w:p w:rsidR="00515F70" w:rsidRPr="00DB0C98" w:rsidRDefault="00515F70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Выезды-въезды из закрытых отдельно стоящих, встроенных, встроенно-пристроенных, подземных автостоянок, автостоянок вместимостью более 50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должны быть организованы, как правило, на улицы и дороги местного значения, проезды и, как исключение, - на магистральные улицы.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СП 42.13330.2016 наименьшие расстояния до въездов в гаражи и выездов из них следует принимать по расчету, но не менее: от перекрестков магистральных улиц - 50 м, от улиц местного значения - 20 м, от остановочных пунктов общественного пассажирского транспорта - 30 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Подъезды к гаражам и автостоянкам не должны, как правило, пересекать основные пешеходные пути, должны быть изолированы от площадок для отдыха, игровых и спортивных площадок.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СанПиН 2.2.1/2.1.1.1200-03 выезды-въезды из гаражей, расположенных на территории жилой застройки, вместимостью свыше 100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-мест, должны быть организованы на улично-дорожную сеть населенного пункта, исключая организацию движения автотранспорта по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внутридворовым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проездам, парковым дорогам и велосипедным дорожкам.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Въезды-выезды из подземных, полуподземных и обвалованных гаражей-стоянок должны быть удалены от территории дошкольных образовательных и общеобразовательных организаций, лечебно-профилактических медицинских организаций, фасадов жилых домов, площадок для отдыха не менее чем на 15 м.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5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СП 42.13330.2016 размеры земельных участков гаражей в зависимости от их этажности следует принимать,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-место: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одноэтажных - 30;</w:t>
      </w:r>
    </w:p>
    <w:p w:rsidR="00DB0C98" w:rsidRPr="00DB0C98" w:rsidRDefault="00DB0C98" w:rsidP="00DB3AE7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двухэтажных - 20;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трехэтажных - 14;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четырехэтажных- 12;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пятиэтажных - 10.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Размеры земельных участков для наземных автостоянок следует принимать из расчета 25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-место.</w:t>
      </w:r>
    </w:p>
    <w:p w:rsidR="00684524" w:rsidRPr="00DB0C98" w:rsidRDefault="00684524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6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СП 42.13330.201</w:t>
      </w:r>
      <w:r w:rsidR="00E73A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автомобилей, в том числе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, %: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районы - 25;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коммунально-складские зоны (районы) - 25;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общегородские и специализированные центры - 5;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массового кратковременного отдыха - 15.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Допускается предусматривать сезонное хранение 10% парка легковых автомобилей в гаражах и на открытых стоянках, расположенных за пределами селитебных территорий.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мопеды, велосипеды) с приведением их к одному расчетному виду (легковому автомобилю) с применением следующих коэффициентов: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мотоциклы и мотороллеры с колясками, мотоколяски - 0,5;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мотоциклы и мотороллеры без колясок - 0,25;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мопеды и велосипеды - 0,8.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Допускается предусматривать открытые стоянки для временного и постоянного хранения автомобилей в пределах улиц и дорог, граничащих с жилыми районами и микрорайонами. При этом следует не допускать сокращения габаритов проезжей части до ширины 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нормативной</w:t>
      </w:r>
      <w:proofErr w:type="gram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Нормы расчета стоянок для временного хранения легковых автомобилей при общественных объектах и рекреационных территориях рекомендуется принимать в соответствии с таблицей 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1"/>
        <w:gridCol w:w="2160"/>
        <w:gridCol w:w="2764"/>
      </w:tblGrid>
      <w:tr w:rsidR="00DB0C98" w:rsidRPr="00DB0C98" w:rsidTr="00F12651">
        <w:trPr>
          <w:trHeight w:val="12"/>
        </w:trPr>
        <w:tc>
          <w:tcPr>
            <w:tcW w:w="5141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Здания и сооружения,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рекреационные территории, объекты отдыха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Расчетная единица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Предусматривается 1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следующее количество расчетных единиц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сооружения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F6F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органов государственной власти,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200 - 220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Административно-управленческие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учреждения, иностранные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представительства, представительства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субъектов Российской Федерации, здания и помещения общественных организаций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100 - 120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50 - 60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Банки и банковские учреждения, кредитно-финансовые учреждения: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с операционными залами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30 - 35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без операционных залов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55 - 60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комплексы многофункциональные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160.1325800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судов общей юрисдикции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152.13330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сооружения следственных органов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228.1325800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Образовательные организации,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реализующие программы высшего образования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F6F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Преподаватели,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сотрудники, </w:t>
            </w:r>
          </w:p>
          <w:p w:rsidR="00E70F6F" w:rsidRDefault="00E70F6F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C98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студенты, занятые в одну смену</w:t>
            </w:r>
          </w:p>
          <w:p w:rsidR="00752CDE" w:rsidRPr="0052470E" w:rsidRDefault="00752CDE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E70F6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2 - 4 преподавателя и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сотрудника +1ашино-место на 10 студентов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Профессиональные образовательные организации, образовательные организации искусств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городского значения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Преподаватели, занятые в одну смену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2 - 3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Центры обучения, самодеятельного творчества,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клубы по интересам для взрослых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Научно-исследовательские и проектные институты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140 - 170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Производственные здания, коммунально-</w:t>
            </w:r>
          </w:p>
          <w:p w:rsidR="00DB0C98" w:rsidRPr="0052470E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складские объекты, размещаемые в составе многофункциональных зон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Работающие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в двух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смежных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сменах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, чел.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производственного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коммунального назначения, размещаемые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участках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территорий производственных и промышленно-производственных объектов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1000 чел.,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работающих в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двух смежных сменах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140 - 160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Магазины-склады (мелкооптовой и 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розничной торговли, гипермаркеты)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30 - 35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торгового назначения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широким ассортиментом товаров </w:t>
            </w:r>
          </w:p>
          <w:p w:rsidR="00E36069" w:rsidRDefault="00DB0C98" w:rsidP="0048483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периодического спроса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продовольственной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(или) непродовольственной групп (торговые </w:t>
            </w:r>
            <w:proofErr w:type="gramEnd"/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центры, торговые комплексы,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супермаркеты, универсамы, универмаги и т.п.)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Специализированные магазины по продаже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товаров эпизодического спроса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непродовольственной группы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(спортивные, автосалоны, мебельные, </w:t>
            </w:r>
            <w:proofErr w:type="gramEnd"/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бытовой техники,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музыкальных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инструментов,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ювелирные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, книжные и т.п.)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60 - 70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Рынки постоянные: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универсальные и непродовольственные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30 - 40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6069" w:rsidRDefault="00DB0C98" w:rsidP="00E3606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продовольственные и</w:t>
            </w:r>
          </w:p>
          <w:p w:rsidR="00DB0C98" w:rsidRPr="0052470E" w:rsidRDefault="00DB0C98" w:rsidP="00E3606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сельскохозяйственные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84830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Предприятия общественного питания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периодического спроса (рестораны, кафе)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Посадочные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Объекты коммунально-бытового обслуживания: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бани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5 - 6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3AE7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B0C98"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ателье, фотосалоны городского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значения, салоны-парикмахерские, салоны 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красоты, солярии, салоны моды,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свадебные салоны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салоны ритуальных услуг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20 - 25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 химчистки, прачечные, </w:t>
            </w:r>
          </w:p>
          <w:p w:rsidR="00E36069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ремонтные мастерские,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специализированные центры по обслуживанию сложной бытовой техники и др.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Рабочее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место приемщика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1 - 2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Гостиницы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257.1325800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Выставочно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-музейные комплексы,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музеи-заповедники, музеи, галереи, выставочные </w:t>
            </w:r>
          </w:p>
          <w:p w:rsidR="00DB0C98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залы</w:t>
            </w:r>
          </w:p>
          <w:p w:rsidR="00752CDE" w:rsidRPr="0052470E" w:rsidRDefault="00752CDE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Театры, концертные залы: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городского значения (1-й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другие театры и концертные залы (2-й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уровень комфорта) и конференц-залы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Киноцентры и кинотеатры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городского значения (1-й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8 - 12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другие (2-й уровень комфорта)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Зрительские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Центральные, специальные и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специализированные библиотеки, интернет-кафе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Постоянные места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Объекты религиозных конфессий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8 - 10, но не менее </w:t>
            </w:r>
          </w:p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-мест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на объект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Досугово-развлекательные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учреждения: развлекательные центры, </w:t>
            </w:r>
          </w:p>
          <w:p w:rsidR="00067E44" w:rsidRDefault="00067E44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дискотеки, залы игровых автоматов, ночные клубы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Бильярдные, боулинги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3 - 4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Здания и помещения медицинских организаций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 СП 158.13330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Места на трибунах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25 - 30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Оздоровительные комплексы (фитнес-клубы,</w:t>
            </w:r>
            <w:proofErr w:type="gramEnd"/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ФОК, спортивные и тренажерные залы)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25 - 55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общей площадью менее 1000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25 - 40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общей площадью 1000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 более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общей площади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40 - 55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515F7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детские </w:t>
            </w:r>
          </w:p>
          <w:p w:rsidR="00DB0C98" w:rsidRPr="0052470E" w:rsidRDefault="00DB0C98" w:rsidP="00515F7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физку</w:t>
            </w:r>
            <w:r w:rsidR="00515F70">
              <w:rPr>
                <w:rFonts w:ascii="Times New Roman" w:eastAsia="Times New Roman" w:hAnsi="Times New Roman" w:cs="Times New Roman"/>
                <w:lang w:eastAsia="ru-RU"/>
              </w:rPr>
              <w:t xml:space="preserve">льтурно-оздоровительные объекты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локального и районного уровней обслуживания: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тренажерные залы площадью 150 - 500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- ФОК с залом площадью 1000 - 2000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 ФОК с залом и бассейном общей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площадью 2000 - 3000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Специализированные спортивные клубы и комплексы (теннис, конный спорт, </w:t>
            </w:r>
            <w:proofErr w:type="gramEnd"/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горнолыжные центры и др.)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3 - 4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Аквапарки, бассейны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Катки с искусственным покрытием </w:t>
            </w:r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общей площадью более 3000 м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Единовременные посетители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6 - 7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Железнодорожные 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Пассажиры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дальнего следования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8 - 10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Автовокзалы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Аэровокзалы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6 - 8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Речные порты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Пассажиры в час пик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7 - 9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Рекреационные территории и объекты отдыха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Пляжи и парки в зонах отдыха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15 - 20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Лесничества и заповедники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7 - 10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Базы кратковременного отдыха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(спортивные, лыжные, рыболовные, охотничьи и др.)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100 единовременных </w:t>
            </w: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Береговые базы маломерного флота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единовременных посетителей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10 - 15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Дома отдыха и санатории, </w:t>
            </w:r>
          </w:p>
          <w:p w:rsidR="00067E44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санатории-профилактории, базы отдыха </w:t>
            </w:r>
          </w:p>
          <w:p w:rsidR="00DB0C98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предприятий и туристские базы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отдыхающих и обслуживающего персонала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3 - 5</w:t>
            </w:r>
          </w:p>
        </w:tc>
      </w:tr>
      <w:tr w:rsidR="00DB0C98" w:rsidRPr="00DB0C98" w:rsidTr="00F12651">
        <w:tc>
          <w:tcPr>
            <w:tcW w:w="5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Предприятия общественного питания, торговли</w:t>
            </w:r>
          </w:p>
          <w:p w:rsidR="00DB0C98" w:rsidRPr="0052470E" w:rsidRDefault="0052470E" w:rsidP="0052470E">
            <w:pPr>
              <w:tabs>
                <w:tab w:val="left" w:pos="30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AE7" w:rsidRPr="0052470E" w:rsidRDefault="00DB0C98" w:rsidP="00DB3AE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100 мест в залах</w:t>
            </w:r>
          </w:p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или единовременных посетителей и персонала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52470E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7 - 10</w:t>
            </w:r>
          </w:p>
        </w:tc>
      </w:tr>
      <w:tr w:rsidR="00DB0C98" w:rsidRPr="00DB0C98" w:rsidTr="00F12651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2651" w:rsidRDefault="00F12651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55F6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Примечания 1. Длина пешеходных подходов от стоянок для временного хранения легковых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автомобилей до объектов в зонах массового отдыха не должна превышать 1000 м.</w:t>
            </w:r>
          </w:p>
          <w:p w:rsidR="00C355F6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административном центре Республики Коми - г. Сыктывкаре, и городах - центрах туризма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следует предусматривать стоянки туристических автобусов и парковочные места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легковых автомобилей, принадлежащих туристам, число которых определяется расчетом.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Указанные стоянки должны быть размещены с учетом обеспечения удобных подходов к объектам туристского осмотра, но не далее 500 м от них и не нарушать целостный характер исторической среды.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3 Вместимость стоянок для парковки туристических автобусов у аэропортов, речных и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морских пассажирских портов, железнодорожных вокзалов следует принимать по норме 3 - 4 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-места на 100 пассажиров (туристов), прибывающих в часы пик. Параметры парковки 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должны рассчитываться с учетом класса вместимости автобусов, но не менее по ширине - 3,0 м,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324D0C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длине - 8,5 м и безопасного прохода пешеходов между границами парковочных мест шириной не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менее 0,75 м.</w:t>
            </w:r>
          </w:p>
          <w:p w:rsidR="00F12651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4 Число </w:t>
            </w:r>
            <w:proofErr w:type="spell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-мест следует принимать при уровнях автомобилизации, определенных </w:t>
            </w:r>
            <w:proofErr w:type="gramStart"/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расчетный срок.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5 Перечень зданий и сооружений уточняется в соответствующих сводах правил,</w:t>
            </w:r>
          </w:p>
          <w:p w:rsidR="00120FE2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 xml:space="preserve"> регламентирующих проектирование зданий и сооружений, площадок и помещений, предназначенных </w:t>
            </w:r>
          </w:p>
          <w:p w:rsidR="00DB0C98" w:rsidRPr="0052470E" w:rsidRDefault="00DB0C98" w:rsidP="00C355F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470E">
              <w:rPr>
                <w:rFonts w:ascii="Times New Roman" w:eastAsia="Times New Roman" w:hAnsi="Times New Roman" w:cs="Times New Roman"/>
                <w:lang w:eastAsia="ru-RU"/>
              </w:rPr>
              <w:t>для стоянок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В соответствии с требованиями СП 42.13330.2016 расстояние пешеходных подходов от стоянок для временного хранения легковых автомобилей следует принимать не более, м: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входов в жилые здания - 100;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пассажирских помещений вокзалов, входов в места крупных организаций торговли и общественного питания - 150;</w:t>
      </w:r>
    </w:p>
    <w:p w:rsidR="00F12651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прочих организаций и предприятий обслуживания населения и административных зданий- 250;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- до входов в парки, на выставки и стадионы - 400.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Гаражи ведомственных автомобилей и легковых автомобилей специального назначения, грузовых автомобилей, такси и проката, автобусные парки,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городов, принимая размеры их земельных участков согласно СП 42.13330.2016.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В соответствии с требованиями СанПиН 2.2.1/2.1.1.1200-03 расстояния от наземных и наземно-подземных гаражей, открытых стоянок, предназначенных для постоянного и временного хранения легковых автомобилей до жилых домов и общественных зданий, а также до участков дошкольных образовательных и общеобразовательных организаций, медицинских организаций стационарного типа, размещаемых на селитебных территориях, следует принимать не менее приведенных в таблице</w:t>
      </w:r>
      <w:proofErr w:type="gram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779"/>
        <w:gridCol w:w="355"/>
        <w:gridCol w:w="754"/>
        <w:gridCol w:w="96"/>
        <w:gridCol w:w="887"/>
        <w:gridCol w:w="247"/>
        <w:gridCol w:w="1047"/>
        <w:gridCol w:w="87"/>
        <w:gridCol w:w="1276"/>
      </w:tblGrid>
      <w:tr w:rsidR="00DB0C98" w:rsidRPr="00DB0C98" w:rsidTr="006411C4">
        <w:trPr>
          <w:trHeight w:val="12"/>
        </w:trPr>
        <w:tc>
          <w:tcPr>
            <w:tcW w:w="4395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Объекты, до которых определяется разрыв</w:t>
            </w:r>
          </w:p>
        </w:tc>
        <w:tc>
          <w:tcPr>
            <w:tcW w:w="55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Расстояние, </w:t>
            </w:r>
            <w:proofErr w:type="gram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, не менее</w:t>
            </w:r>
          </w:p>
        </w:tc>
      </w:tr>
      <w:tr w:rsidR="00DB0C98" w:rsidRPr="00DB0C98" w:rsidTr="006411C4">
        <w:tc>
          <w:tcPr>
            <w:tcW w:w="4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905A7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От гаражей и открытых стоянок вместимостью,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машино</w:t>
            </w:r>
            <w:proofErr w:type="spell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-мест</w:t>
            </w:r>
          </w:p>
        </w:tc>
      </w:tr>
      <w:tr w:rsidR="00DB0C98" w:rsidRPr="00DB0C98" w:rsidTr="006411C4">
        <w:tc>
          <w:tcPr>
            <w:tcW w:w="43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6411C4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B0C98" w:rsidRPr="006411C4">
              <w:rPr>
                <w:rFonts w:ascii="Times New Roman" w:eastAsia="Times New Roman" w:hAnsi="Times New Roman" w:cs="Times New Roman"/>
                <w:lang w:eastAsia="ru-RU"/>
              </w:rPr>
              <w:t>и менее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11 - 50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51 - 100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101 - 300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свыше 300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Фасады жилых зданий и торцы с окнами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Торцы жилых зданий без окон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Общественные здания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Территории общеобразовательных, дошкольных образовательных организаций, профессиональных 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образовательных организаций,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площадок отдыха, игр и спорта, детских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DB0C98" w:rsidRPr="00DB0C98" w:rsidTr="006411C4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Территории </w:t>
            </w:r>
            <w:proofErr w:type="gramStart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медицинских</w:t>
            </w:r>
            <w:proofErr w:type="gramEnd"/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организаций стационарного типа,</w:t>
            </w:r>
          </w:p>
          <w:p w:rsid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 xml:space="preserve"> открытые спортивные сооружения </w:t>
            </w:r>
          </w:p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общего пользования, места отдыха населения (сады, скверы, парки)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6411C4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B0C98" w:rsidRPr="006411C4">
              <w:rPr>
                <w:rFonts w:ascii="Times New Roman" w:eastAsia="Times New Roman" w:hAnsi="Times New Roman" w:cs="Times New Roman"/>
                <w:lang w:eastAsia="ru-RU"/>
              </w:rPr>
              <w:t>о расчету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6411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по расчету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6411C4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1C4">
              <w:rPr>
                <w:rFonts w:ascii="Times New Roman" w:eastAsia="Times New Roman" w:hAnsi="Times New Roman" w:cs="Times New Roman"/>
                <w:lang w:eastAsia="ru-RU"/>
              </w:rPr>
              <w:t>по расчету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Примечания.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На придомовой территории допускается размещение открытых стоянок вместимостью до 50 </w:t>
      </w:r>
      <w:proofErr w:type="spellStart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при соблюдении нормативных требований обеспеченности придомовых территорий элементами благоустройства по площади и наименованиям.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Для гаражей и стоянок вместимостью более 10 машин указанные в таблице расстояния допускается принимать по интерполяции.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Противопожарные расстояния от гаражей и автостоянок до соседних объектов следует определять в соответствии с требованиями </w:t>
      </w:r>
      <w:hyperlink r:id="rId27" w:history="1">
        <w:r w:rsidRPr="00DB0C9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Федерального закона от 22 июля 2008 г. N 123-ФЗ "Технический регламент о требованиях пожарной безопасности"</w:t>
        </w:r>
      </w:hyperlink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Федеральный закон от 22 июля 2008 г.).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В соответствии с требованиями СП 42.13330.2016 станции технического обслуживания автомобилей (СТО)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10 постов - 1,0;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15 постов - 1,5;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25 постов - 2,0;</w:t>
      </w: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40 постов - 3,5.</w:t>
      </w:r>
    </w:p>
    <w:p w:rsid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СП 42.13330.2016 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 колонки - 0,1;</w:t>
      </w:r>
    </w:p>
    <w:p w:rsidR="00E17382" w:rsidRPr="00DB0C98" w:rsidRDefault="00E17382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нормативы </w:t>
      </w:r>
      <w:proofErr w:type="gramStart"/>
      <w:r w:rsidRPr="00DB0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численности подразделений территориальных органов Министерства внутренних дел Российской Федерации</w:t>
      </w:r>
      <w:proofErr w:type="gramEnd"/>
    </w:p>
    <w:p w:rsidR="000B270C" w:rsidRDefault="000B270C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C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12"/>
      </w:tblGrid>
      <w:tr w:rsidR="00DB0C98" w:rsidRPr="00DB0C98" w:rsidTr="00E17382">
        <w:trPr>
          <w:trHeight w:val="12"/>
        </w:trPr>
        <w:tc>
          <w:tcPr>
            <w:tcW w:w="3969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hideMark/>
          </w:tcPr>
          <w:p w:rsidR="00DB0C98" w:rsidRPr="00DB0C98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A724B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Расчетные нормативы численности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дознания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дознаватель на 180 материалов проверки в год или на 55 </w:t>
            </w: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уголовных дел, находящихся в производстве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Подразделения участковых уполномоченных полиции (УУП)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 участковый уполномоченный полиции на 2,8 - 3 тыс. постоянно проживающего городского населения;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участковый уполномоченный полиции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сельском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поселении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- в границах одного или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нескольких объединенных общей территорией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сельских населенных пунктов, но не более 2,8 тыс. человек и не менее 1 участкового уполномоченного полиции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на один сельский населенный пункт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статусом муниципального образования "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сельское</w:t>
            </w:r>
            <w:proofErr w:type="gramEnd"/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поселение" с численностью населения от 1 тыс. человек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Подразделения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патрульно-постовой службы полиции (ППСП)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сотрудник ППСП на 1 - 1,6 тыс. человек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численности населения на территории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обслуживания территориального органа МВД России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10 тыс. и более человек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Подразделения 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 делам несовершеннолетних (ПДН)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инспектор ПДН на 1,4 - 1,9 тыс. несовершеннолетних, 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1 инспектора ПДН на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  <w:proofErr w:type="gramEnd"/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район в сельской местности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по исполнению административного законодательства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1 сотрудник на 2,5 тыс. материалов, зарегистрированных и обрабатываемых в территориальном органе МВД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России,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содержащих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наличии возбужденного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или оконченного производства по делам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об административных правонарушениях,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выявленных силами сотрудников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территориального</w:t>
            </w:r>
            <w:proofErr w:type="gramEnd"/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органа МВД России либо поступивших из других</w:t>
            </w:r>
            <w:proofErr w:type="gramEnd"/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органов, относящихся к компетенции полиции; 1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сотрудник на 650 обращений, содержащих</w:t>
            </w:r>
          </w:p>
          <w:p w:rsid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данные, указывающие на наличие</w:t>
            </w:r>
          </w:p>
          <w:p w:rsidR="00DB0C98" w:rsidRPr="00E17382" w:rsidRDefault="00DB0C98" w:rsidP="00E173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события административного правонарушения, в год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по охране дипломатических представительств и консульств иностранных государств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Штатная численность устанавливается исходя из количества дипломатических представительств, консульских учреждений, иных официальных представительств иностранных государств, представительств международных организаций, если такая охрана предусмотрена международными договорами Российской Федерации, особенностей характеристик зданий и помещений охраняемого объекта, их технической </w:t>
            </w:r>
            <w:proofErr w:type="spell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укрепленности</w:t>
            </w:r>
            <w:proofErr w:type="spell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: одиночный пост количество сотрудников (без учета аппарата подразделений и обслуживающего персонала) равно количеству постов с учетом коэффициента закрытия поста 6,72;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парный пост количество сотрудников (без учета аппарата подразделений и обслуживающего персонала) равно количеству постов с учетом коэффициента закрытия 13,44</w:t>
            </w:r>
          </w:p>
        </w:tc>
      </w:tr>
      <w:tr w:rsidR="00DB0C98" w:rsidRPr="00DB0C98" w:rsidTr="00E17382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Подразделения уголовного розыска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0C98" w:rsidRPr="00E17382" w:rsidRDefault="00DB0C98" w:rsidP="0098478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3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1 сотрудник уголовного розыска на 32 </w:t>
            </w:r>
            <w:proofErr w:type="gramStart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>зарегистрированных</w:t>
            </w:r>
            <w:proofErr w:type="gramEnd"/>
            <w:r w:rsidRPr="00E17382">
              <w:rPr>
                <w:rFonts w:ascii="Times New Roman" w:eastAsia="Times New Roman" w:hAnsi="Times New Roman" w:cs="Times New Roman"/>
                <w:lang w:eastAsia="ru-RU"/>
              </w:rPr>
              <w:t xml:space="preserve"> за год преступления общеуголовной направленности</w:t>
            </w:r>
          </w:p>
        </w:tc>
      </w:tr>
    </w:tbl>
    <w:p w:rsidR="00DB0C98" w:rsidRPr="00DB0C98" w:rsidRDefault="00DB0C98" w:rsidP="00A724B3">
      <w:pPr>
        <w:widowControl w:val="0"/>
        <w:autoSpaceDE w:val="0"/>
        <w:autoSpaceDN w:val="0"/>
        <w:adjustRightInd w:val="0"/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C98" w:rsidRDefault="00DB0C98" w:rsidP="00A724B3">
      <w:pPr>
        <w:ind w:left="284" w:right="-319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Toc500762883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ЧАСТЬ </w:t>
      </w:r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bookmarkEnd w:id="27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8" w:name="_Toc500762884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ПО ОБОСНОВАНИЮ РАСЧЕТНЫХ ПОКАЗАТЕЛЕЙ, СОДЕРЖАЩИХСЯ В ОСНОВНОЙ ЧАСТИ НОРМАТИВОВ ГРАДОСТРОИТЕЛЬНОГО ПРОЕКТИРОВАНИЯ</w:t>
      </w:r>
      <w:bookmarkEnd w:id="28"/>
    </w:p>
    <w:p w:rsidR="00D92117" w:rsidRPr="00D92117" w:rsidRDefault="00D92117" w:rsidP="00A724B3">
      <w:pPr>
        <w:tabs>
          <w:tab w:val="left" w:pos="0"/>
        </w:tabs>
        <w:spacing w:after="0" w:line="240" w:lineRule="auto"/>
        <w:ind w:left="284" w:right="-319" w:firstLine="426"/>
        <w:contextualSpacing/>
        <w:jc w:val="both"/>
        <w:outlineLvl w:val="1"/>
        <w:rPr>
          <w:rFonts w:ascii="Times New Roman" w:eastAsia="Times New Roman" w:hAnsi="Times New Roman" w:cs="Times New Roman"/>
          <w:color w:val="4F81BD"/>
          <w:sz w:val="24"/>
          <w:szCs w:val="24"/>
          <w:lang w:eastAsia="ru-RU"/>
        </w:rPr>
      </w:pPr>
      <w:bookmarkStart w:id="29" w:name="_Toc395512995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0" w:name="_Toc488226873"/>
      <w:bookmarkStart w:id="31" w:name="_Toc500762885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Анализ административн</w:t>
      </w:r>
      <w:proofErr w:type="gramStart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о-</w:t>
      </w:r>
      <w:proofErr w:type="gramEnd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территориального устройства, природно-климатических и социально-экономических условий развития МО МР «</w:t>
      </w:r>
      <w:proofErr w:type="spellStart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-Печорский» Республики Коми</w:t>
      </w:r>
      <w:bookmarkEnd w:id="30"/>
      <w:bookmarkEnd w:id="31"/>
    </w:p>
    <w:p w:rsidR="00D92117" w:rsidRPr="00D92117" w:rsidRDefault="00D92117" w:rsidP="00A724B3">
      <w:pPr>
        <w:spacing w:after="0" w:line="360" w:lineRule="auto"/>
        <w:ind w:left="284" w:right="-319" w:firstLine="42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85782391"/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 Экономико-географическое положение </w:t>
      </w:r>
      <w:bookmarkEnd w:id="32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район располагается на юго-востоке Республики Коми, в бассейне Верхней Печоры.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муниципального образования муниципального района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 составляет 40,7 тыс.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(9,8% - площади Республики Коми)- по площади это один из самых больших районов Республики Коми после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Усть-Цилемского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Протяженность с юга на север 242 км, с запада на восток – 219 км.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севере район граничит  с МО ГО «Вуктыл», с северо-востока, востока - Свердловской областью, Ханты-Мансийским автономным округом, с северо-запада – МО МР "Сосногорск", с юго-востока, юга - Пермским краем, с юго-запада, запада - МО МР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Усть-Куломский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proofErr w:type="gramEnd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центр - поселок городского типа Троицко-Печорск, построен на правом берегу крупнейшей реки Европейского севера - Печоре (длина - 1809 км), в 515 километрах от города Сыктывкара - столицы Республики.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 района входит 33 населенных пункта (наименования и статусы населенных пунктов определены законом Республики Коми от 16.02.2006 №13-РЗ «Об административно-территориальном устройстве 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Републики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Коми», из них поселок городского типа -1, поселки сельского типа - 16, 4 села и 13 деревень, что составляет 11 административных территории: одно городское поселение и 10 сельских поселений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численность населения на 01.01.2017 года составила 11498 человек.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-Печорский район – является 6 типом муниципального района Республики Коми, характеризующимся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слабо освоенными территориями с разреженной сетью автодорог и населенных пунктов, менее 10% территории которых могут считаться тяготеющими к населенным пунктам. В муниципальном образовании имеется поселок городского типа, функционирование которого тесно связано с лесопереработкой (Троицко-Печорск). Для сельской местности характерна малолюдность населенных пунктов и наличие ряда населенных пунктов, не имеющих надежной связи с административным центром своего муниципального района по автодорогам с твердым покрытием.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документах территориального планирования и местных нормативах градостроительного проектирования для муниципальных образований, отнесенных к </w:t>
      </w:r>
      <w:hyperlink w:anchor="P2343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типу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w:anchor="P2346" w:history="1">
        <w:r w:rsidRPr="003E7E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</w:hyperlink>
      <w:r w:rsidRPr="003E7E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дополнительно рассматривать вопросы размещения объектов обслуживания населения, рассчитанных на обеспечение потребностей населения группы населенных пунктов, организации транспортного сообщения в сельской местности и выездного обслуживания населения удаленных населенных пунктов.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характеру организации территории муниципальный район относится подтипу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районы, имеющие в своем составе межселенные территории. В муниципальных районах подтипа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дополнительно рассматривать вопросы использования межселенных территорий и организации обслуживания населения, проживающего на этих территориях.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 МР «</w:t>
      </w:r>
      <w:proofErr w:type="spell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-Печорский» располагается в Верхне-Печорской зоне опережающего развития, спецификой которого является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лесозаготовки и лесопереработки (целлюлоза, бумага, пиломатериалы), перспективно развитие туризма.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городского типа Троицко-Печорск – является административным центром муниципального образования муниципального района и выполняет важные организационно-хозяйственные и социальные функции по обслуживанию прилегающих территорий. </w:t>
      </w: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Со столицей Республики Коми район связан автомобильным сообщением, автодороги с твердым покрытием связывают большинство поселков района с административным центром. Расстояние от административного центра района –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пгт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. Троицко-Печорск до г. Сыктывкара составляет 515 км.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Имеется железнодорожное сообщение, железнодорожная станция находится в  9 км от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пгт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. Троицко-Печорск. Регулярно курсирует поезд Троицко-Печорск – Сыктывкар.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Речной транспорт, как один из основных видов сообщения между населенными пунктами района,  утратил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востребованность, в связи с недоступностью цен на проезд, не регулярностью рейсов,  недостаточностью средств на содержание и ремонт судов.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расположен в орографических областях Печорской равнины и Урала. Рельеф района контрастный, с горным, предгорным и равнинным типами, которым соответствуют крупные орографические элементы: западный склон Северного Урала, окаймляющие его предгорные увалы и южная часть Печорской низменности. Западный склон Северного Урала характеризуется низкогорным плосковершинным подтипом с участками среднегорного плосковершинного горного рельефа.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схеме зональности растительного покрова Республики Коми территория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расположена в пределах средней и северной тайги. Леса преимущественно елово-пихтовые, в долинах рек – с примесью березы и осины.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имеет большое лесохозяйственное значение (лесами занято 87% площади района), тогда как земледелие носит очаговый характер. Степень освоенности территории низкая: плотность населения составляет 0,39 чел. на км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Расселение носит очаговый характер, зоны освоения вытянуты вдоль рек Печора, Илыч и автодороги Ухта-Троицко-Печорск. </w:t>
      </w:r>
    </w:p>
    <w:p w:rsidR="00D92117" w:rsidRPr="00D92117" w:rsidRDefault="00D92117" w:rsidP="00A724B3">
      <w:pPr>
        <w:spacing w:after="0"/>
        <w:ind w:left="284" w:right="-319" w:firstLine="426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 Климат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умеренно-континентальный, лето короткое и умеренно-прохладное, зима многоснежная, продолжительная и 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СНиП 23-01-99 – «Строительная климатология», южная часть муниципального   района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по климатическому районированию относится к климатическому подрайону  I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северная часть к </w:t>
      </w:r>
      <w:r w:rsidRPr="00D921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Для территории характерны высокая степень дифференциации климатических условий, суровые зимы, неустойчивость и резкая смена погодных условий.</w:t>
      </w:r>
    </w:p>
    <w:p w:rsidR="00D92117" w:rsidRDefault="00D92117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0C" w:rsidRDefault="000B270C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70C" w:rsidRPr="00D92117" w:rsidRDefault="000B270C" w:rsidP="00A724B3">
      <w:pPr>
        <w:spacing w:before="40" w:after="4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Водные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МО МР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-Печорский» располагается в пределах водосборного бассейна р. Печора. На территории МО находится исток реки (Северный Урал, у г.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Печорья-Тольячахль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Бассейны всех верхних притоков р. Печора полностью располагаются в границах района.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территории МО также протекают реки: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Когель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Мортью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Палью,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Велью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Волосница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Общая длина речной сети в пределах МО составляет 20 122,5 км, густота речной сети – 0,59 км/км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МО имеется множество озер. В числе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крупных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Олеквад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Светлое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Мартовское,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Камбаловское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Сафроновские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Расьюнские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Петервад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Дикий Вад, Чертово,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Усть-Илычское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старица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Волосницкая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Гидрографическая сеть водных объектов района достаточно развита и принадлежит бассейнам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Печоры и Волги (р. Березовка). Большая часть водотоков, стекающих с западного склона Северного Урала, в своих верховьях имеет характер горных рек с бурным течением, они отличаются многоводностью, наличием перекатов, порогов и сильными разливами в период таяния снегов и летне-осенних дождей. В межгорных понижениях и к западу от отрогов Северного Урала реки имеют равнинный характер. Болотами занято около 9 % территории района. </w:t>
      </w:r>
    </w:p>
    <w:p w:rsidR="00D92117" w:rsidRP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 Лесные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земель лесного фонда района составляла 3267,7 тыс. га (в т.ч. покрытая лесом 2844,5 тыс. га).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Лесами и кустарниками занято большая часть территории района (87%). Преобладают хвойные леса: ель, сосна, в меньшей степени пихта, редко кедр. Лиственные леса занимают менее 10%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лесопокрытой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</w:t>
      </w: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Лесные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ресурсы района сосредоточены в лесных массивах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«Комсомольское лесничество»,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-Печорское лесничество»,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Печоро-Илычское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лесничество», 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заповедник,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частично 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Усть-Немское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  и ГУ РК «</w:t>
      </w:r>
      <w:proofErr w:type="spellStart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Вуктыльское</w:t>
      </w:r>
      <w:proofErr w:type="spellEnd"/>
      <w:r w:rsidRPr="00D92117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лесничество».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</w:p>
    <w:p w:rsidR="00934A16" w:rsidRDefault="00D92117" w:rsidP="00A724B3">
      <w:pPr>
        <w:spacing w:after="0" w:line="240" w:lineRule="auto"/>
        <w:ind w:left="284" w:right="-319" w:firstLine="426"/>
        <w:jc w:val="center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Характеристика лесного фонда МО МР «</w:t>
      </w:r>
      <w:proofErr w:type="spellStart"/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>-Печорский»</w:t>
      </w:r>
    </w:p>
    <w:p w:rsidR="00934A16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ru-RU"/>
        </w:rPr>
        <w:t xml:space="preserve"> 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Cs/>
          <w:i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i/>
          <w:color w:val="202020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Таблица 1</w:t>
      </w:r>
      <w:r w:rsidR="000C296A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8</w:t>
      </w:r>
    </w:p>
    <w:tbl>
      <w:tblPr>
        <w:tblW w:w="4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55"/>
        <w:gridCol w:w="2831"/>
      </w:tblGrid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Общая площадь земель лесного фонда района (тыс. га)</w:t>
            </w:r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3267,7</w:t>
            </w:r>
          </w:p>
        </w:tc>
      </w:tr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Площадь, покрытая лесом (тыс. га)</w:t>
            </w:r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2844,5</w:t>
            </w:r>
          </w:p>
        </w:tc>
      </w:tr>
      <w:tr w:rsidR="00D92117" w:rsidRPr="00D92117" w:rsidTr="00934A16">
        <w:trPr>
          <w:jc w:val="center"/>
        </w:trPr>
        <w:tc>
          <w:tcPr>
            <w:tcW w:w="3459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Лесистость</w:t>
            </w:r>
            <w:proofErr w:type="gramStart"/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1" w:type="pct"/>
            <w:shd w:val="clear" w:color="auto" w:fill="FFFFFF"/>
            <w:vAlign w:val="center"/>
          </w:tcPr>
          <w:p w:rsidR="00D92117" w:rsidRPr="00D92117" w:rsidRDefault="00D92117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 w:rsidRPr="00D92117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87,1</w:t>
            </w:r>
          </w:p>
        </w:tc>
      </w:tr>
    </w:tbl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 Минерально-сырьевые ресурсы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наличию природных ресурсов район можно отнести к категории перспективных.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Минерально-сырьевые ресурсы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представлены углеводородами, торфом, цветными и благородными металлами, каменными и калийно-магниевыми солями, минеральными строительными материалами, подземными водами.</w:t>
      </w:r>
    </w:p>
    <w:p w:rsid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положение в минерально-сырьевом комплексе района занимают месторождения углеводородов (нефтяные, нефтегазовые и газовые). Наиболее крупные нефтегазовые месторождения находятся в разработке длительное время и в значительной степени выработаны.</w:t>
      </w:r>
    </w:p>
    <w:p w:rsidR="000B270C" w:rsidRPr="00D92117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находятся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Джебольская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Олера-Сосьвинская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Верхне-Печорская, Нижне-Печорская,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Курьинско-Потраковская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нефтегазоносные провинции, наиболее крупными являются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Нижнеомринское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Верхнеомринское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нефтегазовые месторождения, расположенные на северо-западе в 27 и 36 км соответственно от Троицко-Печорска. Запасы конденсата учитываются на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Юрвеж-Большелячском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газоконденсатном месторождении,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находящимся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северо-востоку от Троицко-Печорска в неосвоенной части района. В нераспределенном фонде находятся 8 месторождений (в т.ч.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-Печорское), которые относятся к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малоперспективным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по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-Печорскому району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выработанность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по нефти составляет 68%, по газу 27%, и дальнейшее увеличение углеводородного сырья связано с геологоразведочными работами.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ресурсы торфа сосредоточены на месторождении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7,5 км на юго-восток от Троицко-Печорска. Торф используется в сельском хозяйстве в качестве удобрений.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юге района находится месторождение калийных и калийно-магниевых солей, являющееся частью крупного Верхне-Камского соленосного бассейна. Проявления благородных (золото) и цветных (свинец, цинк) металлов промышленной ценности не имеют как по своим мелким масштабам, так и по их нахождению в природоохранных зонах. Имеются предпосылки выявления титановых руд, рудного золота, алмазов.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Значительным потенциалом характеризуются месторождения и проявления минеральных строительных материалов: строительный камень, строительные пески, песчано-гравийный материал. Разведано месторождение пресных подземных вод, имеются перспективы выявления месторождений минеральных и промышленных подземных вод.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имеются руды железа, титана, марганца, свинца, меди, благородных металлов - золота и платины. Часть проявлений находится в пределах охраняемых территорий, что делает их добычу проблематичной. В то же время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Уньинское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(около д. Бердыш) рудное месторождение является перспективным.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Рудопроявления титана площадью 16 кв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бассейне нижнего течения р.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Елимы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также перспективным, учитывая острую дефицитность в стране легкообогатимых титановых руд.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-Печорское месторождение кирпичных глин (в 1 км к юго-западу от Троицко-Печорска), месторождение пресных вод, подземных вод в 10 км к северо-западу от Троицко-Печорска, перспективно направление использования промышленных и минеральных вод, которые могут служить основой многочисленных видов товарной продукции. Дальнейшее развитие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района, расширение специализации хозяйства находится в прямой зависимости от развертывания и результатов геологоразведочных работ.</w:t>
      </w:r>
    </w:p>
    <w:p w:rsidR="00D92117" w:rsidRDefault="00D92117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69EF" w:rsidRPr="00D92117" w:rsidRDefault="009069EF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Arial" w:eastAsia="Times New Roman" w:hAnsi="Arial" w:cs="Arial"/>
          <w:sz w:val="20"/>
          <w:szCs w:val="20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 Рекреационный и культурно-исторический потенциал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Уникальное физико-географическое расположение района на стыке двух континентов, сочетание равнинных и возвышенных ландшафтов, "девственные леса Коми", живописные реки и озера, богатство охотничьих и рыболовных угодий, разнообразие флоры и фауны, благополучная экологическая обстановка - все эти факторы формируют высокий природно-рекреационный потенциал территории. Территория благоприятна для развития экологического, спортивного, оздоровительного, познавательного, экстремального видов туризма.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на территории района функционируют 18 особо охраняемых природных территорий (ООПТ) регионального (республиканского) значения, в числе которых 6 памятников природы и 12 заказников; 1 заповедник федерального значения.</w:t>
      </w:r>
    </w:p>
    <w:p w:rsidR="00934A16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ООПТ регионального (республиканского) значения</w:t>
      </w: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 xml:space="preserve"> </w:t>
      </w:r>
    </w:p>
    <w:p w:rsidR="00D92117" w:rsidRDefault="00D92117" w:rsidP="00A724B3">
      <w:pPr>
        <w:spacing w:after="0" w:line="240" w:lineRule="auto"/>
        <w:ind w:left="284" w:right="-319" w:firstLine="426"/>
        <w:jc w:val="right"/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 xml:space="preserve">Таблица </w:t>
      </w:r>
      <w:r w:rsidR="000C296A">
        <w:rPr>
          <w:rFonts w:ascii="Times New Roman" w:eastAsia="Times New Roman" w:hAnsi="Times New Roman" w:cs="Times New Roman"/>
          <w:bCs/>
          <w:color w:val="202020"/>
          <w:sz w:val="24"/>
          <w:szCs w:val="24"/>
          <w:lang w:eastAsia="ru-RU"/>
        </w:rPr>
        <w:t>19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6"/>
        <w:gridCol w:w="4139"/>
        <w:gridCol w:w="4916"/>
      </w:tblGrid>
      <w:tr w:rsidR="00D92117" w:rsidRPr="00F17466" w:rsidTr="00934A16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Илычский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ихтиологический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Мартюшевское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5503CB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92117" w:rsidRPr="00F174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Митрофановский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Нюмлыгинский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Расъю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лесной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Сисьельнюр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Скала "Лек-Из"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Скаляпский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(Болото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Кереснюр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Сойвинский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ботанический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Татарское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Вичко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Уньинский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комплексный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311CA5">
            <w:pPr>
              <w:spacing w:after="0" w:line="240" w:lineRule="atLeast"/>
              <w:ind w:left="284" w:right="-319"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Урочище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Исперед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(Урочище </w:t>
            </w: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Изпыред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Участок реки Печора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ихтиологический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Хребетнюр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болотный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Чамейный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плес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Яковолеквад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(Яков-Олек-Вад)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лесной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Уньинская</w:t>
            </w:r>
            <w:proofErr w:type="spellEnd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 xml:space="preserve"> пещера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Памятник природы геологический</w:t>
            </w:r>
          </w:p>
        </w:tc>
      </w:tr>
      <w:tr w:rsidR="00D92117" w:rsidRPr="00F17466" w:rsidTr="00934A16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F17466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Немский</w:t>
            </w:r>
            <w:proofErr w:type="spellEnd"/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7" w:rsidRPr="00F17466" w:rsidRDefault="00D92117" w:rsidP="005503CB">
            <w:pPr>
              <w:spacing w:after="0" w:line="240" w:lineRule="atLeast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466">
              <w:rPr>
                <w:rFonts w:ascii="Times New Roman" w:eastAsia="Times New Roman" w:hAnsi="Times New Roman" w:cs="Times New Roman"/>
                <w:lang w:eastAsia="ru-RU"/>
              </w:rPr>
              <w:t>Заказник комплексный</w:t>
            </w:r>
          </w:p>
        </w:tc>
      </w:tr>
    </w:tbl>
    <w:p w:rsidR="00D92117" w:rsidRPr="00F17466" w:rsidRDefault="00D92117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F17466" w:rsidRDefault="005D0EC1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F17466" w:rsidRDefault="005D0EC1" w:rsidP="005503CB">
      <w:pPr>
        <w:spacing w:after="0" w:line="240" w:lineRule="atLeast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466" w:rsidRDefault="00F1746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B270C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B270C" w:rsidRPr="00F17466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5503CB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D0EC1" w:rsidRPr="005503CB" w:rsidRDefault="005D0EC1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них заказники: комплексный, лесной, флористический, ихтиологические, болотные, где охраняются ландшафты, флористические комплексы редких и реликтовых растений, болотные системы, ценные виды рыб.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верховье р.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нижнекаменноугольных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известняках находится геологический памятник природы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пещера", где обнаружен богатый археологический материал.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ООПТ федерального значения -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биосферный заповедник, созданный в 1930 г. Заповедник включает часть территории западного склона Северного Урала и Предуралья с равнинным, предгорным и горным природными комплексами и известен как самый крупный в Европе.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Заповедник относится к объектам общенационального достояния. В 1985 г. он был включен в международную сеть биосферных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резерваций, представляющих основные природные экосистемы мира. В 1995 г.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заповедник и национальный парк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Югыд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объединенные под общим названием "Девственные леса Коми", стали первыми природными объектами России, внесенными в Список Всемирного природного и культурного наследия ЮНЕСКО.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располагается геологический памятник Каменные столбы - останцы ("Болваны") не имеющий статус ООПТ. Местонахождение: западный склон горы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Маньпупунер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водоразделе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Малой Печоры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Егра-Ляги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Илычской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Семь </w:t>
      </w:r>
      <w:proofErr w:type="spellStart"/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серицито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-кварцитовых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столбов, высотой до 30 м причудливой формы. Представляют большую научную и культурно-познавательную ценность, как классический пример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останцевого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рельефа, образованного морозным выветриванием. Со столбами связаны многочисленные легенды.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памятника природы запрещена деятельность, влекущая за собой нарушение почвенного покрова и геологических обнажений, непрофессиональный отбор ископаемых остатков. Памятник находится в ведомственном подчинении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Печоро-Илычского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заповедника.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 район известен в республике и за ее пределами, где сохранились и бытуют традиционные обряды, устои быта, богатые традиции. Этнокультурный потенциал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это в первую очередь самобытные, сохранившие традиционный уклад жизни деревни: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Кодач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Митрофаново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Усть-Унья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Гришестав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Скаляп,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Куръя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с.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Покча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Именно здесь сохранилась история нашего края, его культура: охотничий быт и промысловая деятельность, язык, обычаи и традиции, народа коми.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республике и за ее пределами известен праздник охотника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1DDFD96" wp14:editId="2C562D00">
            <wp:extent cx="967740" cy="1981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гаж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". Уникальный образец традиционного устного творчества "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Ылыдза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марш" (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Еремеевский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марш) которому уже более 100 лет. В районе культивируются традиционные фольклорные праздники "Ивана Купала", "Красная горка", "Петер лун", "Масленица".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находятся 2 объекта: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Уньинская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 и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Шайтановская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пещера включенных в Единый государственный реестр объектов культурного наследия (памятников истории и культуры) народов Российской Федерации. Выявлено 99 объектов археологического наследия, рекомендуемых к включению в данный реестр.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и сохраняемые традиции, культурно-исторические и музейные ценности могут служить базой для развития этнокультурного, познавательного туризма.</w:t>
      </w:r>
    </w:p>
    <w:p w:rsid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9069EF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 Современное использование территории. Земельные ресурсы.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балансе земельного фонда среди всех категорий земель преобладают земли лесного фонда. Природные условия и, прежде всего, климат, качество почв, вегетационный период сдерживают эффективное развитие сельскохозяйственного производства.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Планировочная структура территории характеризуется контрастностью внутрирайонных систем расселения, преобладанием его очаговых и линейных форм. Значительная часть сельских поселений на периферии района имеет низкую степень освоенности территории и крайне невысокий потенциал развития.</w:t>
      </w:r>
    </w:p>
    <w:p w:rsidR="00D92117" w:rsidRDefault="00D92117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9EF" w:rsidRPr="00D92117" w:rsidRDefault="009069EF" w:rsidP="00A724B3">
      <w:pPr>
        <w:spacing w:after="0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 </w:t>
      </w:r>
      <w:bookmarkStart w:id="33" w:name="_Toc153485486"/>
      <w:bookmarkStart w:id="34" w:name="_Toc185782402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расселения и трудовые ресурсы</w:t>
      </w:r>
      <w:bookmarkEnd w:id="33"/>
      <w:bookmarkEnd w:id="34"/>
    </w:p>
    <w:p w:rsidR="004D0B65" w:rsidRPr="004D0B65" w:rsidRDefault="004D0B65" w:rsidP="004D0B65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данным Территориального органа федеральной службы государственной статистики по Республике Коми среднегодовая численность постоянного населения МР «</w:t>
      </w:r>
      <w:proofErr w:type="spellStart"/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Троицко</w:t>
      </w:r>
      <w:proofErr w:type="spellEnd"/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t>-Печорский» составила на 1 января 2020 года 10 523 человек (на 1 января 2019 года – 10 749 чел.), из которых 6 049 чел. (56,3 %) – горожане и 4 700 чел. (43,7 %) – сельские жители. Демографическая ситуация за 2019 год характеризовалась превышением смертности над рождаемостью населения. Сохраняется тенденция неблагоприятного изменения возрастного состава населения – сокращение числа потенциальных родителей и тенденция откладывания рождения первого ребенка на более поздний срок.</w:t>
      </w:r>
    </w:p>
    <w:p w:rsidR="004D0B65" w:rsidRPr="004D0B65" w:rsidRDefault="004D0B65" w:rsidP="004D0B65">
      <w:p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0B6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В 2020 году, по оценке, среднегодовая численность снизится по сравнению с 2019 годом на 1,9 %, и составит 10,5 тыс. человек. Причиной сокращения численности населения продолжает являться миграционный отток населения из района. Значение показателя миграционной убыли в 2020 году ожидается на уровне 135 человек, что на 5 человек больше 2019 года. Миграционный отток во многом объясняется отъездом молодежи на обучение в учебные заведения средней полосы России и постоянное место жительство.</w:t>
      </w:r>
    </w:p>
    <w:p w:rsidR="004D0B65" w:rsidRPr="004D0B65" w:rsidRDefault="004D0B65" w:rsidP="004D0B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D0B65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Демографическая ситуация в 2021 - 2023 годах будет развиваться под влиянием сложившейся динамики рождаемости, смертности и миграции населения и в результате к 2023 году численность населения составит 10,2 тыс. человек. </w:t>
      </w:r>
    </w:p>
    <w:p w:rsidR="004D0B65" w:rsidRPr="004D0B65" w:rsidRDefault="004D0B65" w:rsidP="004D0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профессионально-квалификационному составу из всей потребности в кадрах наиболее востребованными являются рабочие профессии, связанные с лесной отраслью (водитель на вывозку леса, оператор лесозаготовительной техники, оператор лесоперерабатывающих станков).</w:t>
      </w:r>
    </w:p>
    <w:p w:rsidR="004D0B65" w:rsidRPr="004D0B65" w:rsidRDefault="004D0B65" w:rsidP="004D0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B65" w:rsidRDefault="004D0B65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B65" w:rsidRPr="00D92117" w:rsidRDefault="004D0B65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 </w:t>
      </w:r>
      <w:bookmarkStart w:id="35" w:name="_Toc153485491"/>
      <w:bookmarkStart w:id="36" w:name="_Toc185782405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Жилищный фонд</w:t>
      </w:r>
      <w:bookmarkEnd w:id="35"/>
      <w:bookmarkEnd w:id="36"/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По состоянию на 01 января 2021 года согласно статистическому отчету «Жилфонд-1», жилищный фонд муниципального района состоит из 263 многоквартирных и 1575 индивидуальных жилых домов, 675 дома блокированной застройки.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934A16">
        <w:rPr>
          <w:rFonts w:ascii="Times New Roman" w:eastAsia="Calibri" w:hAnsi="Times New Roman" w:cs="Times New Roman"/>
          <w:sz w:val="24"/>
          <w:szCs w:val="24"/>
        </w:rPr>
        <w:t>Ввод нового жилья осуществляется за счет индивидуальных застройщиков построенных населением за счет собственных и заемных средств общей площадью жилья – 1,18 тыс. м</w:t>
      </w:r>
      <w:proofErr w:type="gramStart"/>
      <w:r w:rsidRPr="00934A16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934A16">
        <w:rPr>
          <w:rFonts w:ascii="Times New Roman" w:eastAsia="Calibri" w:hAnsi="Times New Roman" w:cs="Times New Roman"/>
          <w:sz w:val="24"/>
          <w:szCs w:val="24"/>
        </w:rPr>
        <w:t xml:space="preserve"> (с учетом жилых домов, построенных населением на земельных участках, предназначенных для ведения садоводства).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Общая площадь ветхого и аварийного жилищного фонда по состоянию на 1 января 2021 года составляет 34 807,68 кв. м. количество домов 136.</w:t>
      </w:r>
    </w:p>
    <w:p w:rsid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Calibri" w:hAnsi="Times New Roman" w:cs="Times New Roman"/>
          <w:bCs/>
          <w:sz w:val="24"/>
          <w:szCs w:val="24"/>
        </w:rPr>
        <w:t>В соответствии с программой «Переселение граждан из аварийного жилищного фонда в 2019-2025 годах» запланировано переселение   граждан из   аварийных и ветхих помещений. Число жителей, планируемых к переселению – 542 человек, количество расселяемых жилых помещений – 283 единиц, расселяемая площадь жилых помещений – 11 863,3 кв. м., в том  числе: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B270C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жилищного фонда по  программе переселения граждан. </w:t>
      </w:r>
    </w:p>
    <w:p w:rsidR="00934A16" w:rsidRPr="00934A16" w:rsidRDefault="00934A16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Style w:val="17"/>
        <w:tblW w:w="9322" w:type="dxa"/>
        <w:tblLook w:val="04A0" w:firstRow="1" w:lastRow="0" w:firstColumn="1" w:lastColumn="0" w:noHBand="0" w:noVBand="1"/>
      </w:tblPr>
      <w:tblGrid>
        <w:gridCol w:w="1242"/>
        <w:gridCol w:w="2694"/>
        <w:gridCol w:w="2693"/>
        <w:gridCol w:w="2693"/>
      </w:tblGrid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года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количество</w:t>
            </w:r>
          </w:p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человек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количество</w:t>
            </w:r>
          </w:p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помещений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расселяемая площадь м</w:t>
            </w:r>
            <w:proofErr w:type="gramStart"/>
            <w:r w:rsidRPr="00934A16">
              <w:rPr>
                <w:rFonts w:eastAsia="Calibri"/>
                <w:bCs/>
                <w:sz w:val="24"/>
                <w:szCs w:val="24"/>
              </w:rPr>
              <w:t>2</w:t>
            </w:r>
            <w:proofErr w:type="gramEnd"/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2019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224,6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2020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444,6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2021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803,8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2022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114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2399,9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2023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183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4187,2</w:t>
            </w:r>
          </w:p>
        </w:tc>
      </w:tr>
      <w:tr w:rsidR="00934A16" w:rsidRPr="00934A16" w:rsidTr="004873F9">
        <w:tc>
          <w:tcPr>
            <w:tcW w:w="1242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2024</w:t>
            </w:r>
          </w:p>
        </w:tc>
        <w:tc>
          <w:tcPr>
            <w:tcW w:w="2694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181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92</w:t>
            </w:r>
          </w:p>
        </w:tc>
        <w:tc>
          <w:tcPr>
            <w:tcW w:w="2693" w:type="dxa"/>
          </w:tcPr>
          <w:p w:rsidR="00934A16" w:rsidRPr="00934A16" w:rsidRDefault="00934A16" w:rsidP="00A724B3">
            <w:pPr>
              <w:autoSpaceDE w:val="0"/>
              <w:autoSpaceDN w:val="0"/>
              <w:adjustRightInd w:val="0"/>
              <w:ind w:left="284" w:right="-319" w:firstLine="426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34A16">
              <w:rPr>
                <w:rFonts w:eastAsia="Calibri"/>
                <w:bCs/>
                <w:sz w:val="24"/>
                <w:szCs w:val="24"/>
              </w:rPr>
              <w:t>3803,2</w:t>
            </w:r>
          </w:p>
        </w:tc>
      </w:tr>
    </w:tbl>
    <w:p w:rsidR="00934A16" w:rsidRDefault="00934A16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33 населенных пунктов в районе участвуют программе </w:t>
      </w:r>
      <w:r w:rsidR="00934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переселения граждан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населенных пунктов: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Троицко-Печорск, Якша, Комсомольск-на-Печоре, Усть-Илыч, Митрофан-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Нижняя Омра, Приуральский, Мирный, Палью, Белый Бор,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Бадь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-Ель.</w:t>
      </w:r>
      <w:proofErr w:type="gramEnd"/>
    </w:p>
    <w:p w:rsidR="009069EF" w:rsidRDefault="009069E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A16" w:rsidRDefault="00934A16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9069EF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1.10 </w:t>
      </w:r>
      <w:r w:rsidR="00D92117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</w:t>
      </w:r>
      <w:r w:rsidR="009069EF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 обслуживание</w:t>
      </w:r>
      <w:r w:rsid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-о</w:t>
      </w:r>
      <w:r w:rsidR="00D92117" w:rsidRPr="0090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бразование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2020 учебного года на территории района функционирует сеть ОО, подведомственных управлению образования, состоящая из 14 образовательных организаций: 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3-х дошкольных образовательных организаций (МДОУ «Детский сад № 1 общеразвивающего вида», «Детский сад № 3 общеразвивающего вида»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МБДОУ «Детский сад»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Мылва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образовательной организации, реализующей программу дошкольного образования и основную образовательную программу начального общего образования («Школа»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 Бор);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 5-ти основных общеобразовательных школ (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Комсомольск – на – Печоре,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Нижняя Омра,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Митрофан -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 средних общеобразовательных школ (СОШ №1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Троицко-Печорск,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Якша,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Приуральский, с. Усть-Илыч), </w:t>
      </w:r>
      <w:proofErr w:type="gramEnd"/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организация дополнительного  образования «Центр внешкольной работы»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состоянию на 01.01.2021 г. услугами дошкольного образования охвачено 507 детей дошкольного возраста.       Функционирует 28 групп, из них 19 групп – в образовательных организациях, реализующих образовательную программу дошкольного образования, функционируют 2 группы кратковременного пребывания детей по подготовке к школе с охватом 9 детей. Охват детей от 3 лет до 7 лет дошкольным образованием составляет 100% от числа детей данной категории, желающих посещать дошкольную образовательную организацию (по данным ГИС «Электронное образование»), также в районе созданы условия для осуществления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В 2020 учебном году услугами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было охвачено 100 % дошкольников в возрасте 5-7 лет на базе образовательных организаций (от числа детей данной категории, желающих посещать дошкольную образовательную организацию).</w:t>
      </w:r>
    </w:p>
    <w:p w:rsidR="007258DA" w:rsidRPr="007258DA" w:rsidRDefault="007258D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58DA">
        <w:rPr>
          <w:rFonts w:ascii="Times New Roman" w:eastAsia="Calibri" w:hAnsi="Times New Roman" w:cs="Times New Roman"/>
          <w:bCs/>
          <w:sz w:val="24"/>
          <w:szCs w:val="24"/>
        </w:rPr>
        <w:t>Профессиональное образование  представлено - Государственным профессиональным образовательным учреждением «</w:t>
      </w:r>
      <w:proofErr w:type="spellStart"/>
      <w:r w:rsidRPr="007258DA">
        <w:rPr>
          <w:rFonts w:ascii="Times New Roman" w:eastAsia="Calibri" w:hAnsi="Times New Roman" w:cs="Times New Roman"/>
          <w:bCs/>
          <w:sz w:val="24"/>
          <w:szCs w:val="24"/>
        </w:rPr>
        <w:t>Троицко</w:t>
      </w:r>
      <w:proofErr w:type="spellEnd"/>
      <w:r w:rsidRPr="007258DA">
        <w:rPr>
          <w:rFonts w:ascii="Times New Roman" w:eastAsia="Calibri" w:hAnsi="Times New Roman" w:cs="Times New Roman"/>
          <w:bCs/>
          <w:sz w:val="24"/>
          <w:szCs w:val="24"/>
        </w:rPr>
        <w:t>-Печорский политехнический техникум».</w:t>
      </w:r>
    </w:p>
    <w:p w:rsidR="007258DA" w:rsidRPr="007258DA" w:rsidRDefault="007258DA" w:rsidP="00A724B3">
      <w:pPr>
        <w:widowControl w:val="0"/>
        <w:autoSpaceDE w:val="0"/>
        <w:autoSpaceDN w:val="0"/>
        <w:adjustRightInd w:val="0"/>
        <w:spacing w:after="0" w:line="240" w:lineRule="auto"/>
        <w:ind w:left="284" w:right="-319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92117" w:rsidRPr="00D92117" w:rsidRDefault="00D92117" w:rsidP="00A724B3">
      <w:pPr>
        <w:spacing w:after="0"/>
        <w:ind w:left="284" w:right="-319" w:firstLine="426"/>
        <w:jc w:val="both"/>
        <w:outlineLvl w:val="2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92117" w:rsidRPr="00D92117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2117"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Культурно-бытовое обслуживание населения</w:t>
      </w:r>
    </w:p>
    <w:p w:rsidR="00003ADA" w:rsidRDefault="00003A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 районе функционировало 30 учреждений культуры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Культурный потенциал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12 культурно-досуговыми учреждениями, 15 публичными библиотеками, 2 музеями, детской музыкальной школой.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Документальный фонд библиотек на бумажных и электронных носителях на 01.01.2021 года составляет 146 879 экземпляров. В 2020 году поступило 3 292 экземпляра за счет субсидий местного, республиканского  бюджетов на сумму 168 960,0 рублей и   за счет   безвозмездных поступлений от Национальной библиотеки.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Все библиотеки обеспечены компьютерной техникой. Количество компьютеров   составляет 42 единицы, копировально-множительной техники - 34 единицы.  Возможность выхода  в Интернет   имеют 10 библиотек из 15. Скорость доступа к сети Интернет в двух библиотеках составляет 10 Мбит/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остальных от 2 до 4.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Высокоростной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имеют 2 библиотеки: Центральная и модельная библиотека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библиотеки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доступ к Интернет подключены к Национальной электронной библиотеке  РФ. Центральная  библиотека и Модельная библиотека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имеют доступ к Национальной библиотеке РК.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 рамках национального проекта «Культура» в РДК оборудован  кинозал на 45 мест.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Удовлетворенность населения качеством услуг в сфере «культура» - 75 %. Высокий показатель связан с планомерной работой учреждений культуры по повышению эффективности деятельности учреждений, качества мероприятий.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   сохранения и популяризации культурно-национальной самобытности, объектов культурного наследия финно-угорских народов, развития родных   языков   и   национальных   культур     народов, проживающих  в  Троицко-Печорском районе 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 районный дом культуры» функционирует отдел национальных культур. Созданы 3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национальных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общества. Коми национальным обществом (МОД «Коми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войтыр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 ежегодно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проводятся мероприятия по развитию и сохранению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культуры: республиканский праздник охотника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Вöралысьлöн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гаж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фольклорный праздник 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Прокопей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лун»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окча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фестиваль национальных культур «Венок дружбы», и др.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 реализации государственной национальной политики в районе ежегодно в учреждениях культуры, образования и спорта проходит более 700 мероприятий, где принимают участие свыше 2000 человек.</w:t>
      </w:r>
      <w:r w:rsidRPr="00725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Организационно-творческий уровень мероприятий и удовлетворенность населения качеством оказываемых учреждениями культуры услуг значительно выросли за последние пять лет.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учреждений культуры (42,4%) расположено в труднодоступных населенных пунктах 10 сельских поселений. В целях повышения доступности культурных услуг организовано выездное обслуживание удаленных населенных пунктов, информационное обеспечение жителей района через сеть Интернет. Создано и активно функционируют группы учреждений культуры в социальных сетях в Контакте, позволяющих проводить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пиар-акции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рекламу и анализ мероприятий, мониторинг качества оказываемых учреждениями культуры услуг.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кадрового потенциала наряду с инновационной проектной деятельностью является основными приоритетами культурной политики в районе.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основных направлений развития отрасли является: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выполнения учреждениями культуры и дополнительного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детей муниципальных заданий и утвержденных объемных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показателей;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достижение основного показателя национального проекта «Культура» по посещаемости учреждений культуры и по наращиванию контингента детской музыкальной школы муниципального района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целевых индикаторов национального проекта «Спорт в нашей жизни»;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достижение установленных показателей численности волонтеров;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эффективности оказания муниципальных услуг;</w:t>
      </w:r>
    </w:p>
    <w:p w:rsidR="007258DA" w:rsidRPr="007258DA" w:rsidRDefault="007258DA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укрепление материально-технической базы учреждений культуры. 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270C" w:rsidRPr="007258DA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3ADA" w:rsidRDefault="00003A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1.12 </w:t>
      </w:r>
      <w:r w:rsidR="007258DA" w:rsidRPr="00725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 и спорт.</w:t>
      </w:r>
      <w:r w:rsidR="007258DA"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лицами с ограниченными возможностями и другими категориями граждан в области физической культуры и массового спорта на территории МО  ГП    «Троицко-Печорск» осуществляли следующие объекты: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Физкультурно-спортивные залы суммарной мощностью    608,0  м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пола;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Плоскостные сооружения – 2, площадью 1834кв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и13700,0кв.м.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Лыжная база - 1, общей площадью  -  197,6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Детская юношеская спортивная школа, общей площадью спортивного зала - 198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настоящее время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Троицко-Печорск,   квартал Южный осуществляется  строительство нового спортивного объекта «Физкультурно-оздоровительный комплекс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 Республики Коми».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4D0B65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1.13 </w:t>
      </w:r>
      <w:r w:rsidR="007258DA" w:rsidRPr="00725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Здравоохранение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Отрасль – здравоохранение в районе представлено 1 учреждением  государственной формы собственности   ГБУЗ РК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-Печорская ЦРБ», в составе которой отделение скорой медицинской помощи, стационар на 90 койки, поликлиника на 260 посещений в смену, дневной стационар при поликлинике на 25 коек,  7 медицинских кабинетов школ и ДДУ,  15 ФАПОВ.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D92117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Default="00D92117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37" w:name="_Toc185782407"/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Транспортное обеспечение</w:t>
      </w:r>
      <w:bookmarkEnd w:id="37"/>
    </w:p>
    <w:p w:rsidR="007258DA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район характеризуется невысоким уровнем развитости дорожной сети.  На территории района в течение последних лет не наблюдается больших изменений соотношения на маршрутной сети, обслуживаемой социальным и коммерческим транспортом.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проводится конкурс по отбору автотранспортной организации по перевозке пассажиров на социально значимых внутрирайонных пригородных и междугородних маршрутах.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В 2020 году пассажирские перевозки автомобильным транспортом на территории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-Печорского района осуществлял ООО «Искра».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 Так в 2020 году на обеспечение транспортного обслуживания населения на внутрирайонных пригородных и междугородних маршрутах на территории МР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>-Печорский» в бюджете МР «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-Печорский» -3 960,0 тыс. руб., за 2019 год – 4 330,0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.; за 2018 год -  4 568,9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Осуществляется работа с обращениями граждан (перевозки автомобильным транспортом; расписание движения автобусов).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функционирования маршрутов во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внутримуниципальном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в труднодоступные населенные пункты муниципального района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-Печорский" проведена работа по разработке аэронавигационного паспорта для вертолетной площадки в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риуральский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Декабре 2020 года осуществлялись авиарейсы по маршруту Ухт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Троицко-Печорск – Приуральский и обратно.</w:t>
      </w:r>
    </w:p>
    <w:p w:rsidR="007258DA" w:rsidRPr="007258DA" w:rsidRDefault="007258DA" w:rsidP="00A724B3">
      <w:pPr>
        <w:spacing w:after="0" w:line="240" w:lineRule="auto"/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01.01.2021 сеть автомобильных дорог на территории района составляет: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2211"/>
      </w:tblGrid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автомобильных дорог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Протяженность, </w:t>
            </w:r>
            <w:proofErr w:type="gramStart"/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республиканского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244,66</w:t>
            </w:r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 общего пользования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</w:t>
            </w:r>
          </w:p>
        </w:tc>
      </w:tr>
      <w:tr w:rsidR="007258DA" w:rsidRPr="007258DA" w:rsidTr="004873F9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Зимних автомобильных дорог местного 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DA" w:rsidRPr="007258DA" w:rsidRDefault="007258DA" w:rsidP="00A724B3">
            <w:pPr>
              <w:spacing w:after="0" w:line="240" w:lineRule="auto"/>
              <w:ind w:left="284" w:right="-319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</w:tr>
    </w:tbl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района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336,3</w:t>
      </w: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 автозимников, в том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10</w:t>
      </w: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зимних ледовых переправ  2,3 км.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годы не ведется строительство новых автомобильных дорог. Техническое состояние дорог требует улучшения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последние годы не ведется строительство новых автомобильных дорог. Техническое состояние дорог требует улучшения.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дорожных покрытий большинства дорог не соответствует эксплуатационным требованиям. В условиях существующего положения первоочередной задачей остается сохранение автомобильных дорог муниципального образования МР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-Печорский", поддержание их транспортного состояния, обеспечение безопасного, бесперебойного движения транспорта.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железнодорожное сообщение, железнодорожная станция находится в 9 км от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Троицко-Печорск. Курсирует пригородный поезд Троицко-Печорск - Сосногорск.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2014 году авиапредприятием ОАО "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Комиавиатранс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" при финансовой поддержке Правительства Республики Коми была подготовлена посадочная площадка "Троицко-Печорск" к эксплуатации самолетов.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дорожного хозяйства необходимо завершить процесс инвентаризации и оформления всех дорог и инженерных сооружений, находящихся в собственности муниципального района. Продолжить реализацию плана приведения их в </w:t>
      </w:r>
      <w:proofErr w:type="gram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нормативное</w:t>
      </w:r>
      <w:proofErr w:type="gram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</w:t>
      </w:r>
      <w:r w:rsid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AA202F" w:rsidP="004D0B65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4D0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Pr="00AA2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Инженерное обеспечение</w:t>
      </w:r>
    </w:p>
    <w:p w:rsidR="007258D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Теплоснабжение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Коммунальная инфраструктура включает 14 котельных, обеспечивающих теплом 343 жилых дома, 33 объекта социального характера. Из 14 котельных 4- работают на газовом топливе, 6 – на угле, на дровах – 2 котельные.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Протяженность 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магистральных труб отопления и горячего водоснабжения </w:t>
      </w:r>
      <w:r w:rsidRPr="00725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– 44,735 км (в том числе ГВС -6,5 км), из них 4,63 км – ветхие сети (в том числе ГВС – 0,5663 км). Протяженность канализационных сетей -26,619 км, протяженность водопроводных сетей – 39,299 км, из них ветхих- 6,61 км.</w:t>
      </w: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изменения произошли по причине перевода котельных на газ, проведения инвентаризации, в ходе которой приведено в соответствие протяженность сетей по причине списания и разборки списанных домов и других объектов, по причине перевода домов на автономное отопление.</w:t>
      </w:r>
    </w:p>
    <w:p w:rsidR="007258DA" w:rsidRP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энергоресурсами для котельных района являются дрова, уголь, газ. Система электроснабжения характеризуется пониженной надежностью. Выработку тепловой энергии осуществляет </w:t>
      </w:r>
      <w:proofErr w:type="spellStart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7258D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 филиал ОАО "Коми тепловая компания".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Газоснабжение</w:t>
      </w:r>
      <w:r w:rsidRPr="0064745A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 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Газоснабжение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ижняя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Омра,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пгт.Троицко-Печорск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 газопроводом высокого давления. Протяженность газовых сетей давлением 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разной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177,681 км.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Газопровод месторождения Северный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Джебол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газом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омсомольск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Печоре.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Продолжаются строительно-монтажные работы по подключению к системе газоснабжения муниципального жилищного фонда.</w:t>
      </w:r>
    </w:p>
    <w:p w:rsidR="007258DA" w:rsidRDefault="007258D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70C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70C" w:rsidRPr="00D92117" w:rsidRDefault="000B270C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Электроснабжение</w:t>
      </w:r>
    </w:p>
    <w:p w:rsidR="00AA202F" w:rsidRP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района выработка собственной электроэнергии не осуществляется, поставщиком электрической энергии является ОАО «Коми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компания». Основным потребителем электрической энергией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Троицко-Печорском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является население (50 %). На промышленных потребителей приходится (39 %). Бюджетные организации и учреждения различных уровней требуют (11 %). Сетей линии ЛЭП напряжением разной величины – 700  км. Из них линии ЛЭП ВЛ-110/35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-230 км, линии ЛЭП  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-10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-234 км., линии ЛЭП – 0,4кВ-171 км. </w:t>
      </w:r>
    </w:p>
    <w:p w:rsidR="00AA202F" w:rsidRP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Подстанций 110/35 КВ -9 ед., трансформаторных подстанций -10/0,4 -92 ед.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турбинная установка мощностью 2,5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меговатта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- 1 ед.</w:t>
      </w:r>
    </w:p>
    <w:p w:rsidR="00AA202F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плана развития системы электроснабжения района требуется  разработка новой схемы электроснабжения с учетом создания местных источников электроэнергии., решение проблемы зон децентрализованного энергоснабжения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урья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д.Волосница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д.Пачгино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с.Усть-Унья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п.Тимушбор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д.Скаляп</w:t>
      </w:r>
      <w:proofErr w:type="spellEnd"/>
      <w:r w:rsidRPr="00AA2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02F" w:rsidRPr="00D92117" w:rsidRDefault="00AA202F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64745A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МО МР "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-Печорский" услуги местной телефонной связи, проводного вещания, услуги телеграфной, факсимильной связи, интернета оказывает "Коми филиал ОАО "Ростелеком".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"Ростелеком" включил в инвестиционный план прокладку оптико-волоконной линии до п. Приуральский (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Усть-Илыч).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 АТС скомплектованы и работают в населенных пунктах Курья, Якша, Комсомольск-на-Печоре, Митрофан-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Знаменка,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Покча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Тимушбор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Мылва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ж/д станции. Однако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все населенные пункты обеспечены телефонной связью - д.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Приуральский</w:t>
      </w:r>
      <w:proofErr w:type="gram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данных населенных пунктах располагаются только таксофоны, которые работают нестабильно.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предоставлению доступа в сеть Интернет предоставляется не во всех поселениях района. В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Троицко-Печорск,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Комсомольск-на-Печоре,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Якша проблем  доступ обеспечен, в отдаленных населенных пунктах с. Усть-Илыч, д.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Приуральский доступ ограничен.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развивается сотовая связь. На сегодняшний день действуют 4 оператора: "МТС", "ТЕЛЕ 2", "Мегафон" и "Билайн".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сельских поселениях осуществлено  строительство радиотелевизионных передающих станций для ФГУП "Российская телевизионная и радиовещательная сеть". 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 также установлен цифровой сигнал.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Почтовое обслуживание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-Печорского района осуществляется Отделением почтовой связи </w:t>
      </w:r>
      <w:proofErr w:type="spellStart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64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Троицко-Печорск.</w:t>
      </w: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P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45A" w:rsidRDefault="0064745A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8" w:name="_Toc488226874"/>
      <w:bookmarkStart w:id="39" w:name="_Toc500762886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Обоснование расчетных показателей, содержащихся в основной части нормативов градостроительного проектирования</w:t>
      </w:r>
      <w:bookmarkEnd w:id="38"/>
      <w:bookmarkEnd w:id="39"/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Обоснование расчетных показателей, устанавливаемых для объектов местного значения в области жилищного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1.1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lang w:eastAsia="ru-RU"/>
        </w:rPr>
        <w:t>Удельные размеры площадок различного функционального назначения приняты согласно «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Региональных нормативов градостроительного проектирования Республики Коми», утвержденных</w:t>
      </w:r>
      <w:r w:rsidR="001A034B" w:rsidRPr="001A034B">
        <w:t xml:space="preserve">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ерства строительства и дорожного хозяйства 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Коми</w:t>
      </w:r>
      <w:r w:rsid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34B" w:rsidRPr="001A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июня 2020 г.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2.1  и 2.2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 расчета объектов обслуживания и размеры их земельных участков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(РНГП РК), Приложения Методических рекомендаций, утвержденных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04.05.2016г. № АК-15/02вн.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3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(РНГП РК)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Обоснование расчетных показателей, устанавливаемых для объектов местного значения в области физической культуры 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4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Обоснование расчетных показателей, устанавливаемых для объектов местного значения в области культуры и социального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5.1  и 5.2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  <w:r w:rsidRPr="00D9211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2.6.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рекреации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6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Обоснование расчетных показателей, устанавливаемых для объектов местного значения в области в области энергетики и инженерной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содержащихся в пункте 7 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2.7.1. Обоснование расчетных показателей объектов, относящиеся к области электроснабжения, содержащиеся в пункте 7.1.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 по  электропотреблению кВт·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/год на 1 чел. приняты на уровне </w:t>
      </w:r>
      <w:hyperlink r:id="rId29" w:history="1">
        <w:r w:rsidRPr="00D9211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приложения Л</w:t>
        </w:r>
      </w:hyperlink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свода правил СП 42.13330.2016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максимума  электрической нагрузки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/год так же принято в соответствии с приложением Л СП 42.13330.2016.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нагрузка, расход электроэнергии приняты согласно </w:t>
      </w:r>
      <w:hyperlink r:id="rId30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РД 34.20.185-94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 Обоснование расчетных показателей объектов, относящиеся к области тепло-, газоснабжения содержащихся в пункте 7.2 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показателям №№1, 2, 3, 4 указанные укрупненные показатели потребления газа при теплоте сгорания 34 МДж/ м</w:t>
      </w:r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6B3E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B3E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026" alt="Описание: 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(8000 ккал/ м</w:t>
      </w:r>
      <w:r w:rsidRPr="00D92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приняты согласно п. 3.12 </w:t>
      </w:r>
      <w:hyperlink r:id="rId31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42-101-2003</w:t>
        </w:r>
      </w:hyperlink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«Общие положения по проектированию и строительству газораспределительных систем из металлических и полиэтиленовых труб».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2.7.3. Обоснование расчетных показателей объектов, относящихся к области водоснабжения населения, содержащихся в пункте 7.3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МНГП МР 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2.7.4. Обоснование расчетных показателей объектов, относящихся к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содержащиеся в пункте 7.4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№№1,2,3 приняты по  объектам-аналогам (с учетом расходов на полив) и согласно </w:t>
      </w:r>
      <w:hyperlink r:id="rId32" w:history="1">
        <w:r w:rsidRPr="00D921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 12</w:t>
        </w:r>
      </w:hyperlink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свода правил СП 42.13330.201</w:t>
      </w:r>
      <w:r w:rsidR="00351F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Обоснование расчетных показателей, устанавливаемых для объектов местного значения в области автомобильных дорог местного значения содержащихся в пункте 1.8 раздела 1 части 1 нормативов. 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МНГП МР; Таблиц 11.3 и 11.4 п.11.6 </w:t>
      </w: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 42.13330.2016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Обоснование расчетных показателей, устанавливаемых для объектов сельского хозяйства и объектов местного значения, имеющих промышленное и коммунально-складское назначение  содержащихся в пункте 9 раздела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санитарно-защитных зон предприятий сельского хозяйства  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местного значения, имеющих промышленное и коммунально-складское назначение приняты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«СанПиН 2.2.1/2.1.1.1200-03. Санитарно-защитные зоны и санитарная классификация предприятий, сооружений и иных объектов. Санитарно-эпидемиологические правила и нормативы».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 Обоснование расчетных показателей, устанавливаемых для объектов местного значения в области предупреждения чрезвычайных ситуаций, стихийных бедствий, эпидемий и ликвидации их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10 части 1 нормативов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согласно п.1.2 части </w:t>
      </w:r>
      <w:r w:rsidRPr="00D921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Обоснование расчетных показателей, устанавливаемых для объектов местного значения в области утилизации и переработки бытовых и промышленных отходов содержащихся в пункте 11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</w:t>
      </w:r>
      <w:r w:rsidRPr="00D921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 42.13330.2011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«Градостроительство. Планировка и застройка городских и сельских поселений».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2.12. Обоснование расчетных показателей, устанавливаемых для объектов местного значения в области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захоронений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пункте 12 части 1 нормативов.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Расчетные показатели приняты 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ормы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объектов обслуживания и размеры их земельных участков</w:t>
      </w:r>
      <w:r w:rsidR="007A2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РНГП РК</w:t>
      </w:r>
      <w:r w:rsidRPr="00D92117"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  <w:t>.</w:t>
      </w:r>
    </w:p>
    <w:bookmarkEnd w:id="29"/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</w:p>
    <w:p w:rsidR="00891EC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C0504D"/>
          <w:sz w:val="24"/>
          <w:szCs w:val="24"/>
          <w:lang w:eastAsia="ru-RU"/>
        </w:rPr>
        <w:t xml:space="preserve">                                                             </w:t>
      </w:r>
    </w:p>
    <w:p w:rsidR="00D92117" w:rsidRPr="00CA1358" w:rsidRDefault="0086710C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0" w:name="_Toc50076288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</w:t>
      </w:r>
      <w:r w:rsidR="00D92117"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ЧАСТЬ </w:t>
      </w:r>
      <w:r w:rsidR="00D92117" w:rsidRPr="00C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</w:t>
      </w:r>
      <w:bookmarkEnd w:id="40"/>
    </w:p>
    <w:p w:rsidR="00D92117" w:rsidRPr="00D92117" w:rsidRDefault="00D92117" w:rsidP="00A724B3">
      <w:pPr>
        <w:keepNext/>
        <w:keepLines/>
        <w:widowControl w:val="0"/>
        <w:spacing w:before="480" w:after="0" w:line="240" w:lineRule="auto"/>
        <w:ind w:left="284" w:right="-319" w:firstLine="42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1" w:name="_Toc500762888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И ОБЛАСТЬ ПРИМЕНЕНИЯ РАСЧЕТНЫХ ПОКАЗАТЕЛЕЙ, СОДЕРЖАЩИХСЯ В ОСНОВНОЙ ЧАСТИ МЕСТНЫХ НОРМАТИВОВ ГРАДОСТРОИТЕЛЬНОГО ПРОЕКТИРОВАНИЯ</w:t>
      </w:r>
      <w:bookmarkEnd w:id="41"/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_Toc395513018"/>
      <w:bookmarkStart w:id="43" w:name="_Toc395513019"/>
      <w:bookmarkEnd w:id="42"/>
      <w:bookmarkEnd w:id="43"/>
    </w:p>
    <w:p w:rsid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 – документ, разработанный в соответствии с Градостроительным Кодексом Российской Федерации, законодательством Республики Коми, Свода правил СП 42.13330.2016 «Градостроительство. Планировка и застройка городских и сельских поселений».</w:t>
      </w:r>
    </w:p>
    <w:p w:rsidR="000B270C" w:rsidRPr="00D92117" w:rsidRDefault="000B270C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Нормативы направлены на сохранение и дальнейшее повышение достигнутого в городском округе уровня обеспечения благоприятных условий жизнедеятельности населения, разработаны с учетом перспективы развития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Коми. Нормативы распространяются на планировку, застройку и реконструкцию территорий</w:t>
      </w: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Местные нормативы градостроительного проектирования сельских поселений 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-Печорского района Республики Коми подлежат применению: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разработчиками 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 минимально допустимого уровня обеспеченности объектами местного значения  и расчетные показатели максимально допустимого уровня территориальной доступности таких объектов для населения муниципального района, установленные в местных нормативах градостроительного проектирования, применяются при подготовке генеральных планов населенных пунктов сельского поселения «</w:t>
      </w:r>
      <w:proofErr w:type="spellStart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Краснобор</w:t>
      </w:r>
      <w:proofErr w:type="spellEnd"/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уточнения показателей прогноза социально-экономического развития сельского поселения, документации по планировке территории, правил землепользования и застройки.</w:t>
      </w:r>
      <w:proofErr w:type="gramEnd"/>
    </w:p>
    <w:p w:rsidR="00D92117" w:rsidRPr="00D92117" w:rsidRDefault="00D92117" w:rsidP="00A724B3">
      <w:pPr>
        <w:shd w:val="clear" w:color="auto" w:fill="FFFFFF"/>
        <w:tabs>
          <w:tab w:val="left" w:pos="142"/>
        </w:tabs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федерального и регионального законодательства в сфере градостроительства в местные нормативы вносятся соответствующие изменения.</w:t>
      </w:r>
    </w:p>
    <w:p w:rsidR="00D92117" w:rsidRPr="00D92117" w:rsidRDefault="00D92117" w:rsidP="00A724B3">
      <w:pPr>
        <w:spacing w:after="0" w:line="240" w:lineRule="auto"/>
        <w:ind w:left="284" w:right="-31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D92117" w:rsidRPr="00D92117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_Toc429053761"/>
    </w:p>
    <w:p w:rsidR="003E7E59" w:rsidRDefault="00D92117" w:rsidP="00A724B3">
      <w:pPr>
        <w:ind w:left="284" w:right="-319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891EC7" w:rsidRDefault="00891EC7" w:rsidP="00A724B3">
      <w:pPr>
        <w:ind w:left="284" w:right="-319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92117" w:rsidRDefault="00D92117" w:rsidP="008E19A2">
      <w:pPr>
        <w:keepNext/>
        <w:keepLines/>
        <w:widowControl w:val="0"/>
        <w:spacing w:before="480" w:after="0" w:line="240" w:lineRule="auto"/>
        <w:ind w:left="284" w:right="-319" w:firstLine="42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5" w:name="_Toc500762889"/>
      <w:r w:rsidRPr="00D92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НОРМАТИВНЫЕ ССЫЛКИ</w:t>
      </w:r>
      <w:bookmarkEnd w:id="45"/>
    </w:p>
    <w:p w:rsidR="00792D7E" w:rsidRPr="00792D7E" w:rsidRDefault="00792D7E" w:rsidP="00792D7E">
      <w:pPr>
        <w:keepNext/>
        <w:keepLines/>
        <w:widowControl w:val="0"/>
        <w:spacing w:before="480" w:after="0" w:line="240" w:lineRule="auto"/>
        <w:ind w:left="284" w:right="-319" w:firstLine="42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Федеральные законы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7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Водный кодекс Российской Федерации.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 w:right="-319"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Земельный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Кодекс внутреннего водного транспорта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Лесной кодекс Российской Федерации.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Закон Российской Федерации "О недрах".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пожарной безопасности".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природных лечебных ресурсах, лечебно-оздоровительных местностях и курортах".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особо охраняемых природных территориях".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животном мире".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архитектурной деятельности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использовании атомной энергии".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социальной защите инвалидов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безопасности дорожного движения".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радиационной безопасности населения".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ведении гражданами садоводства и огородничества для собственных нужд и о внесении изменений в отдельные законодательные акты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основах туристской деятельности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промышленной безопасности опасных производственных объектов".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безопасности гидротехнических сооружений".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отходах производства и потребления".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защите населения и территорий от чрезвычайных ситуаций природного и техногенного характера".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охране атмосферного воздуха".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приватизации государственного и муниципального имущества".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охране окружающей среды".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объектах культурного наследия (памятниках истории и культуры) народов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техническом регулировании".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железнодорожном транспорте в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"Об общих принципах организации местного самоуправления в Российской Федерации".</w:t>
      </w:r>
    </w:p>
    <w:p w:rsidR="00BB1760" w:rsidRPr="000B270C" w:rsidRDefault="00BB1760" w:rsidP="00A724B3">
      <w:pPr>
        <w:shd w:val="clear" w:color="auto" w:fill="FFFFFF"/>
        <w:spacing w:after="0" w:line="240" w:lineRule="atLeast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"Технический регламент о требованиях пожарной безопасности".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"Технический регламент о безопасности зданий и сооружений".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добровольной пожарной охране".</w:t>
      </w:r>
      <w:r w:rsidRPr="000B27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Федеральный закон "О стратегическом планировании в Российской Федерации".</w:t>
      </w:r>
    </w:p>
    <w:p w:rsidR="0086710C" w:rsidRPr="000B270C" w:rsidRDefault="0086710C" w:rsidP="00A724B3">
      <w:pPr>
        <w:shd w:val="clear" w:color="auto" w:fill="FFFFFF"/>
        <w:spacing w:after="0" w:line="240" w:lineRule="atLeast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10C" w:rsidRPr="000B270C" w:rsidRDefault="0086710C" w:rsidP="00BB1760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10C" w:rsidRPr="000B270C" w:rsidRDefault="0086710C" w:rsidP="00BB1760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760" w:rsidRPr="0097622D" w:rsidRDefault="00BB1760" w:rsidP="00BB176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22B" w:rsidRPr="00C52D3F" w:rsidRDefault="00050072" w:rsidP="0050622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0622B" w:rsidRPr="00C52D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Указы Президента Российской Федерации и правовые акты Правительства Российской Федерации, правовые акты федеральных органов исполнительной власти </w:t>
      </w:r>
    </w:p>
    <w:p w:rsidR="0050622B" w:rsidRDefault="0050622B" w:rsidP="0050622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760" w:rsidRPr="00F34135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30 ноября 1992 г. N 1487 "Об особо ценных объектах культурного наследия народов Российской Федерации".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7 мая 2012 г. N 599 "О мерах по реализации государственной политики в области образования и науки".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21 мая 2007 г. N 304 "О классификации чрезвычайных ситуаций природного и техногенного характера".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30 июня 2007 г. N 417 "Об утверждении Правил пожарной безопасности в лесах".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16 января 2010 г. N 2 "Об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округов, проектов документации по планировке территории, разрабатываемых для исторических поселений, а также градостроительных регламентов, устанавливаемых в пределах территорий объектов культурного наследия и их зон охраны" (далее - постановление Правительства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января 2010 г. N 2).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9 апреля 2016 г.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 сентября 2010 г. N 754".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25 апреля 2012 г. N 390 "О противопожарном режиме".</w:t>
      </w:r>
    </w:p>
    <w:p w:rsidR="00BB1760" w:rsidRPr="00F34135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28 ноября 2013 г. N 1095 "Об утверждении требований к определению границ территории исторического поселения".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15 апреля 2014 г. N 302 "Об утверждении государственной программы Российской Федерации "Развитие физической культуры и спорта" (далее - постановление Правительства Российской Федерации от 15 апреля 2014 г. N 302).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5 мая 2014 г. N 405 "Об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страны" (далее - постановление Правительства Российской Федерации от 5 мая 2014 г. N 405).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26 декабря 2014 г.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 января 2015 г. N 1 "Об утверждении Положения о государственном земельном надзоре".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коллегии Министерства культуры РСФСР от 19 февраля 1990 г. N 12, коллегии Госстроя РСФСР от 28 февраля 1990 г. N 3, Президиума Центрального совета ВООПИК от 16 февраля 1990 г. N 12(162) "Об утверждении нового списка исторических населенных мест РСФСР".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Госстроя России от 21 августа 2003 г. N 152 "Об утверждении Методических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рекомендаций о порядке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генеральных схем очистки территорий населенных пунктов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Госстроя России от 27 сентября 2003 г. N 170 "Об утверждении Правил и норм технической эксплуатации жилищного фонда".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Минздрава России от 20 апреля 2018 г. N 182 "Об утверждении методических рекомендаций о применении нормативов и норм ресурсной обеспеченности населения в сфере здравоохранения".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21 марта 2018 г. N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 (далее - 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21 марта 2018 г. N 244).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Минприроды России от 6 июня 2017 г. N 273 "Об утверждении методов расчетов рассеивания выбросов вредных (загрязняющих) веществ в атмосферном воздухе".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Минприроды России от 29 марта 2018 г. N 122 "Об утверждении Лесоустроительной инструкции".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МЧС России от 28 февраля 2003 г. N 105 "Об утверждении Требований по предупреждению чрезвычайных ситуаций на потенциально опасных объектах и объектах жизнеобеспечения".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МЧС России от 25 октября 2004 г. N 484 "Об утверждении типового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 безопасности территорий субъектов Российской Федерации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образований" (далее - Приказ МЧС России от 25 октября 2004 г. N 484).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МЧС России N 422,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Мининформсвязи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N 90, Минкультуры России N 376 от 25 июля 2006 г. "Об утверждении Положения о системах оповещения населения".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Минстроя России от 15 апреля 2016 г. N 248/</w:t>
      </w:r>
      <w:proofErr w:type="spellStart"/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порядке разработки и согласования специальных технических условий для разработки проектной документации на объект капитального строительства" (далее - Приказ Минстроя России от 15 апреля 2016 г. N 248/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транспорта Российской Федерации от 6 августа 2008 г. N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17.04.2019 N 831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N 384-ФЗ "Технический регламент о безопасности зданий и сооружений".</w:t>
      </w:r>
    </w:p>
    <w:p w:rsidR="00BB1760" w:rsidRPr="00F34135" w:rsidRDefault="00050072" w:rsidP="00BB3EFE">
      <w:pPr>
        <w:shd w:val="clear" w:color="auto" w:fill="FFFFFF"/>
        <w:spacing w:after="0" w:line="315" w:lineRule="atLeast"/>
        <w:ind w:right="-31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Минкультуры России N 418,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Минрегиона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N 339 от 29 июля 2010 г. "Об утверждении перечня исторических поселений".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5 июля 2011 г. N 287 "Об утверждении классификации природной пожарной опасности лесов и классификации пожарной опасности в лесах в зависимости от условий погоды".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регионального развития Российской Федерации от 26 мая 2011 г. N 244 "Об утверждении Методических рекомендаций по разработке проектов генеральных планов поселений и городских округов".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МЧС России от 28 ноября 2011 г. N 710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пожарной безопасности, отражающих специфику обеспечения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безопасности" (далее - Приказ МЧС России от 28 ноября 2011 г. N 710).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21 февраля 2012 г. N 62 "Об утверждении Правил использования лесов для осуществления рекреационной деятельности".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Рослесхоза от 27 апреля 2012 г. N 174 "Об утверждении Нормативов противопожарного обустройства лесов".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15 мая 2012 г. N 543н "Об утверждении Положения об организации оказания первичной медико-санитарной помощи взрослому населению".</w:t>
      </w:r>
    </w:p>
    <w:p w:rsidR="00BB1760" w:rsidRPr="00F34135" w:rsidRDefault="00050072" w:rsidP="009762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регионального развития Российской Федерации от 19 апреля 2013 г. N 169 "Об утверждении Методических рекомендаций по подготовке схем территориального планирования субъектов Российской Федерации" (далее - Приказ Министерства регионального развития Российской Федерации от 19 апреля 2013 г. N 169).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июня 2019 г. N 1317 "Об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N 123-ФЗ "Технический регламент о требованиях пожарной безопасности".</w:t>
      </w:r>
    </w:p>
    <w:p w:rsidR="00F11A9B" w:rsidRDefault="00050072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Минэкономразвития России от 1 сентября 2014 г. N 540 "Об утверждении классификатора видов разрешенного использования земельных участков".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16 марта 2018 г. N 08-581 "О направлении методических рекомендаций" (вместе с "Методическими рекомендациями о применении нормативов и норм ресурсной обеспеченности населения, выраженных в натуральных показателях, в целях реализации полномочий субъектов Российской Федерации в сфере образования", утв.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20.03.2018 N ТС-39/08вн).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Минкультуры России от 2 августа 2017 г. N Р-965 "Об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Минтруда России от 5 мая 2016 г. N 219 "Об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местности".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4 мая 2016 г. N АК-950/02 </w:t>
      </w:r>
      <w:r w:rsidR="00F11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BB1760"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</w:t>
      </w:r>
    </w:p>
    <w:p w:rsidR="00BB1760" w:rsidRPr="00CE3B0C" w:rsidRDefault="00BB1760" w:rsidP="00BB176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рекомендациях" (вместе с "Методическими рекомендациями по развитию сети образовательных организаций и обеспеченности населения услугами таких организаций, </w:t>
      </w:r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образования", утв. </w:t>
      </w:r>
      <w:proofErr w:type="spellStart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proofErr w:type="gramEnd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3B0C">
        <w:rPr>
          <w:rFonts w:ascii="Times New Roman" w:eastAsia="Times New Roman" w:hAnsi="Times New Roman" w:cs="Times New Roman"/>
          <w:sz w:val="24"/>
          <w:szCs w:val="24"/>
          <w:lang w:eastAsia="ru-RU"/>
        </w:rPr>
        <w:t>04.05.2016 N АК-15/02вн).</w:t>
      </w:r>
      <w:proofErr w:type="gramEnd"/>
    </w:p>
    <w:p w:rsidR="00BB1760" w:rsidRPr="00CE3B0C" w:rsidRDefault="00BB1760" w:rsidP="0097622D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760" w:rsidRDefault="008B68EB" w:rsidP="008B68EB">
      <w:pPr>
        <w:tabs>
          <w:tab w:val="left" w:pos="4236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B68EB" w:rsidRPr="00CE3B0C" w:rsidRDefault="008B68EB" w:rsidP="008B68EB">
      <w:pPr>
        <w:tabs>
          <w:tab w:val="left" w:pos="4236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ГОСТы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12.1.033 ССБТ. Пожарная безопасность.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ГОСТ 17.0.0.01-76 Система стандартов в области охраны природы и улучшения использования природных ресурсов. Основные положения (с Изменениями № 1, 2).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17.1.1.04-80 Охрана природы. Гидросфера. Классификация подземных вод по целям водопользования.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17.1.3.06-82 Охрана природы. Гидросфера. Общие требования к охране подземных вод.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17.1.3.10-83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17.1.3.13-86 Охрана природы. Гидросфера. Общие требования к охране поверхностных вод от загрязнения.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17.1.5.02-80 Гигиенические требования к зонам рекреации водных объектов.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17.5.1.02-85 Охрана природы. Земли. Классификация нарушенных земель для рекультивации.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17.5.3.01-78* Охрана природы. Земли. Состав и размер зеленых зон городов.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17.5.3.04-83 Охрана природы. Земли. Общие требования к рекультивации земель.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17.8.1.02-88 Охрана природы. Ландшафты. Классификация.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22.0.02–94 Безопасность в чрезвычайных ситуациях. Термины и определения основных понятий.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22.0.03–97 Безопасность в чрезвычайных ситуациях. Природные чрезвычайные ситуации.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22.0.05–97 Безопасность в чрезвычайных ситуациях. Техногенные чрезвычайные ситуации. Термины и определения.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22.0.06–95 Безопасность в чрезвычайных ситуациях. Источники природных чрезвычайных ситуаций. Поражающие факторы. Номенклатура поражающих воздействий.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22.0.07–95 Безопасность в чрезвычайных ситуациях. Источники техногенных чрезвычайных ситуаций. Классификация и номенклатура поражающих факторов и их параметров.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30774-2001 Ресурсосбережение. Обращение с отходами. Паспорт опасности отходов. Основные требования.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22283-2014 Шум авиационный. Допустимые уровни шума на территории жилой застройки и методы его измерения.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23.0.01-94 Безопасность в чрезвычайных ситуациях. Основные положения.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23.0.02-94 Безопасность в чрезвычайных ситуациях. Термины и определения основных понятий (с изменением № 1, введенным в действие 01.01.2001 г. Постановлением Госстандарта России от 31.05.200 г. № 148-ст).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50597-93 Автомобильные дороги и улицы. Требования к эксплуатационному состоянию, допустимому по условиям обеспечения безопасности дорожного движения.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50681-94 Туристско-экскурсионное обслуживание. Проектирование туристских услуг.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50690-2000 Туристские услуги.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51185-98 Туристские услуги. Средства размещения.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52023-2003 Сети распределительные систем кабельного телевидения. Основные параметры. Технические требования. Методы измерений и испытаний.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52108-2003 Ресурсосбережение. Обращение с отходами. Основные положения (с Изменением № 1).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52398-2005 Классификация автомобильных дорог. Основные параметры и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52399-2005 Геометрические элементы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ГОСТ 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52766-2007 Дороги автомобильные общего пользования. Элементы обустройства. Общие требования.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53691-2009 Ресурсосбережение. Обращение с отходами. Паспорт отхода I-IV класса опасности. Основные требования.</w:t>
      </w: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СНиПы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11-04-2003 Инструкция о порядке разработки, согласования, экспертизы и утверждения градостроительной документации.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2.01.28-85 Полигоны по обезвреживанию и захоронению токсичных промышленных отходов. Основные положения по проектированию.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2.01.51-90 Инженерно-технические мероприятия гражданской обороны.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2.01.53-84 Световая маскировка населенных пунктов и объектов народного хозяйства.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2.01.57-85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 2.06.01-86 Гидротехнические сооружения. Основные положения проектирования.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2.06.03-85 Мелиоративные системы и сооружения. 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2.06.15-85 Инженерная защита территорий от затопления и подтопления.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2.08.02-89* Общественные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2.10.05-85 Предприятия, здания и сооружения по хранению и переработке зерна.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СНиП 22-01-95 Геофизика опасных природных воздействий.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23-01-99 Строительная климатология.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30-02-97* Планировка и застройка территорий садоводческих объединений граждан,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31-03-2001 Производственные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31-04-2001 Складские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31-05-2003 Общественные здания административного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41-02-2003 Тепловые сети.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42-01-2002 Газораспределительные системы.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II-7-81* Строительство в сейсмических районах.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СНиП Инструкция по проектированию крышных котельных (дополнение к </w:t>
      </w:r>
      <w:hyperlink r:id="rId33" w:tooltip="СНиП II-35-76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СНиП II-35-76</w:t>
        </w:r>
      </w:hyperlink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Котельные установки и </w:t>
      </w:r>
      <w:hyperlink r:id="rId34" w:tooltip="СНиП 2.04.08-87" w:history="1">
        <w:r w:rsidRPr="00D921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СНиП 2.04.08-87</w:t>
        </w:r>
      </w:hyperlink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Газоснабжение).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68EB" w:rsidRDefault="008B68EB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Своды правил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105.13330.2012 Здания и помещения для хранения и переработки сельскохозяйственной продукции.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106.13330.2012 Животноводческие, птицеводческие и звероводческие здания и помещения.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11-112-2001 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11.13130.2009 Места дислокации подразделений пожарной охраны. Порядок и методика определения.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113.13330.2012 Стоянки автомобилей.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118.13330.2012 Общественные здания и сооружения.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121.13330.2012 Аэродромы.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124.13330.2012 Тепловые сети.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СП 125.13330.2012 Нефтепродуктопроводы, прокладываемые на территории городов и других населенных пунктов.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155.13130.2014 Требования пожарной безопасности. Склады нефти и нефтепродуктов.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18.13330.2011 Генеральные планы промышленных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19.13330.2011 Генеральные планы сельскохозяйственных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2.1.5.1059-01 Гигиенические требования к охране подземных вод от загрязнения.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2.1.7.1038-01 Гигиенические требования к устройству и содержанию полигонов для твердых бытовых отходов.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2.1.7.1386-03 Санитарные правила по определению класса опасности токсичных отходов производства и потребления.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2.13130.2012 «Обеспечение огнестойкости объектов защиты».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30-102-99 Планировка и застройка территорий малоэтажного жилищного строительства.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30.13330.2016 Внутренний водопровод и канализация зданий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31-102-99 Требования доступности общественных зданий и сооружений для инвалидов и других маломобильных посетителей.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31-103-99 Проектирование и строительство зданий, сооружений и комплексов православных храмов.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31-112-2004 Физкультурно-спортивные залы.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31.13330.2012 Водоснабжение. Наружные сети и сооружения.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32.13330.2012 Канализация. Наружные сети и сооружения.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34.13330.2012 Автомобильные дороги.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35-101-2001 Проектирование зданий и сооружений с учетом доступности для маломобильных групп населения. Общие положения.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35-102-2001 Жилая среда с планировочными элементами, доступными инвалидам.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35-103-2001 Общественные здания и сооружения, доступные маломобильным посетителям.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35-104-2001 Здания и помещения с местами труда для инвалидов.</w:t>
      </w:r>
    </w:p>
    <w:p w:rsid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35-106-2003 Расчет и размещение учреждений социального обслуживания пожилых людей.</w:t>
      </w:r>
    </w:p>
    <w:p w:rsidR="008B68EB" w:rsidRPr="00D92117" w:rsidRDefault="008B68EB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42.13330.2016 Градостроительство. Планировка и застройка городских и сельских поселений.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43.13330.2012 Сооружения промышленных предприятий.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44.13330.2011 Административные и бытовые здания.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46.13330.2012 Мосты и трубы.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4690-88 Санитарные правила содержания территорий населенных мест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 51.13330.2011 Защита от шума.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54.13330.2011 Здания жилые многоквартирные.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 55.13330.2011 Дома жилые одноквартирные.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 59.13330.2016 Доступность зданий и сооружений для маломобильных групп населения.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78.13330.2012 Автомобильные дороги.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 8.13130.2009 Системы противопожарной защиты. Источники наружного противопожарного водоснабжения. Требования пожарной безопасности.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СП 88.13330.2014 Защитные сооружения гражданской обороны.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 99.13330.2012 Внутрихозяйственные автомобильные дороги в колхозах, совхозах и других сельскохозяйственных предприятиях и организациях.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Санитарные нормы и правила, санитарные нормы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2.1.1279-03 Гигиенические требования к размещению, устройству и содержанию кладбищ, зданий и сооружений похоронного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2.1.4.1074-01 Питьевая вода. Гигиенические требования к качеству воды централизованного питьевого водоснабжения. Контроль качества.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2.1.4.1110-02 Зоны санитарной охраны источников водоснабжения и водопроводов питьевого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2.1.4.1175-02 Гигиенические требования к качеству воды нецентрализованного водоснабжения. Санитарная охрана источников.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2.1.5.980-00 Гигиенические требования к охране поверхностных вод.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2.1.6.1032-01 Гигиенические требования к обеспечению качества атмосферного воздуха населенных мест.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2.1.7.1287-03 Санитарно-эпидемиологические требования к качеству почвы.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2.1.7.1322-03 Гигиенические требования к размещению и обезвреживанию отходов производства и потребления.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2.1.7.2790-10 Санитарно-эпидемиологические требования к обращению с медицинскими отходами.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2.1.8/2.2.4.1190-03 Гигиенические требования к размещению и эксплуатации средств сухопутной подвижной радиосвязи.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2.1.3.2630-10 Санитарно-эпидемиологические требования к организациям, осуществляющим медицинскую деятельность.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2.2.1/2.1.1.1076-01 Гигиенические требования к инсоляции и солнцезащите помещений жилых и общественных зданий и территорий.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 2.2.1/2.1.1.1200-03 Санитарно-защитные зоны и санитарная классификация предприятий, сооружений  и иных объектов. Санитарно-эпидемиологические правила и нормативы.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2.4.1.2660-10 Санитарно-эпидемиологические требования к устройству, содержанию и организации режима работы в дошкольных организациях.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 42-128-4690-88 Санитарные правила содержания территорий населенных мест.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РДС, МДС, СН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РДС 35-201-99 Порядок реализации требований доступности для инвалидов к объектам социальной инфраструктуры.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МДС 15-1.99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МДС 15-2.99 Инструкция о порядке осуществления государственного </w:t>
      </w: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и охраной земель в городских и сельских поселениях.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 457-74 Нормы отвода земель для аэропортов.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 467-74 Нормы отвода земель для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Иные нормативные и методические документы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ОДМ 218.2.007-2011 Методические рекомендации по проектированию мероприятий по обеспечению доступа инвалидов к объектам дорожного хозяйства.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ОДМ 218.2.013-2011 Методические рекомендации по защите от транспортного шума территорий, прилегающих к автомобильным дорогам.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ОДМ 218.3.031-2013 Методические рекомендации по охране окружающей среды при строительстве, ремонте и содержании автомобильных дорог.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ОНД-86 Методика расчета концентраций в атмосферном воздухе вредных веществ, содержащихся в выбросах предприятий. 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РД 45.120-2000 (НТП 112-2000) Нормы технологического проектирования. Городские и сельские телефонные сети.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 Технологические карты на устройство земляного полотна и дорожной одежды (введены в действие распоряжением Минтранса России от 23.05.2003 г. № ОС-468-р).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от 4 мая 2016 г. N</w:t>
      </w:r>
      <w:proofErr w:type="gramEnd"/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АК-15/02вн.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г. N 358.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 </w:t>
      </w:r>
      <w:r w:rsidRPr="00D9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 мая 2016 года № 219.</w:t>
      </w:r>
    </w:p>
    <w:p w:rsidR="00D92117" w:rsidRP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г. N 586.</w:t>
      </w:r>
    </w:p>
    <w:p w:rsidR="00D92117" w:rsidRDefault="00D92117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г. N Р-948.</w:t>
      </w:r>
    </w:p>
    <w:p w:rsidR="0097622D" w:rsidRPr="00D92117" w:rsidRDefault="0097622D" w:rsidP="00D92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117" w:rsidRPr="00D92117" w:rsidRDefault="00D92117" w:rsidP="00D9211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:rsidR="008B68EB" w:rsidRPr="008B68EB" w:rsidRDefault="008B68EB" w:rsidP="008B68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2D2D2D"/>
          <w:sz w:val="21"/>
          <w:szCs w:val="21"/>
          <w:lang w:eastAsia="ru-RU"/>
        </w:rPr>
      </w:pPr>
    </w:p>
    <w:p w:rsidR="004E6A30" w:rsidRDefault="008B68EB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</w:pPr>
      <w:r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>Законы Республики Коми, постановления и распоряжения Правительства Республики Коми,  Главы Республики Коми</w:t>
      </w:r>
    </w:p>
    <w:p w:rsidR="0097622D" w:rsidRPr="008B68EB" w:rsidRDefault="008B68EB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t xml:space="preserve"> </w:t>
      </w:r>
      <w:r w:rsidR="0097622D" w:rsidRPr="008B68EB">
        <w:rPr>
          <w:rFonts w:ascii="Times New Roman" w:eastAsia="Times New Roman" w:hAnsi="Times New Roman" w:cs="Times New Roman"/>
          <w:b/>
          <w:color w:val="2D2D2D"/>
          <w:sz w:val="28"/>
          <w:szCs w:val="28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Коми "О защите населения и территорий Республики Коми от чрезвычайных ситуаций природного и техногенного характера".</w:t>
      </w:r>
    </w:p>
    <w:p w:rsidR="004E6A30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Республики Коми "О некоторых вопросах в области охраны окружающей среды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 Коми и признании утратившими силу некоторых законода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актов Республики Коми".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Коми "О некоторых вопросах в области градостроительной деятельности в Республике Коми".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11 апреля 2019 г. N 185 "О Стратегии социально-экономического развития Республики Коми на период до 2035 года".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10 сентября 2007 г. N 209 "О Порядке отнесения земель к землям особо охраняемых территорий регионального значения, использования и охраны земель особо охраняемых территорий регионального значения".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Республики Коми от 29 апреля 2009 г. N 102 "О Порядке сбора и обмена информацией в области защиты населения и территорий Республики Коми от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чрезвычайных ситуаций природного и техногенного характера".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24 декабря 2010 г. N 469 "Об утверждении схемы территориального планирования Республики Коми".</w:t>
      </w:r>
    </w:p>
    <w:p w:rsidR="0097622D" w:rsidRPr="008B68EB" w:rsidRDefault="0097622D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10 июля 2014 г. N 275 "О режиме использования особо охраняемых природных территорий республиканского значения в туристских и иных рекреационных целях" (далее - постановление Правительства Республики Коми от 10 июля 2014 г. N 275).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27 апреля 2015 г. N 182 "Об утверждении Порядка осуществления муниципального земельного контроля на территории Республики Коми".</w:t>
      </w:r>
    </w:p>
    <w:p w:rsidR="0097622D" w:rsidRPr="008B68EB" w:rsidRDefault="004E6A30" w:rsidP="004E6A3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Республики Коми от 28 июня 2017 г. N 342 "О Порядке подготовки и утверждения проекта планировки территории в отношении территории исторических поселений регионального значения в Республике Коми".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30 ноября 2009 г. N 438-р.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17 января 2017 г. N 10-р.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29 октября 2014 г. N 356-р.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10.04.2020 N 101-р.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Республики Коми от 13 октября 2015 г. N 388-р.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622D"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Главы Республики Коми от 01.05.2020 N 106-р.</w:t>
      </w:r>
    </w:p>
    <w:p w:rsidR="00D92117" w:rsidRPr="008B68EB" w:rsidRDefault="00D92117" w:rsidP="004E6A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E59" w:rsidRPr="008B68EB" w:rsidRDefault="00D92117" w:rsidP="004E6A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bookmarkEnd w:id="44"/>
    </w:p>
    <w:sectPr w:rsidR="003E7E59" w:rsidRPr="008B68EB" w:rsidSect="00A076DF">
      <w:footerReference w:type="default" r:id="rId35"/>
      <w:pgSz w:w="11906" w:h="16838"/>
      <w:pgMar w:top="568" w:right="1080" w:bottom="1440" w:left="1080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3B" w:rsidRDefault="006B3E3B" w:rsidP="003E7E59">
      <w:pPr>
        <w:spacing w:after="0" w:line="240" w:lineRule="auto"/>
      </w:pPr>
      <w:r>
        <w:separator/>
      </w:r>
    </w:p>
  </w:endnote>
  <w:endnote w:type="continuationSeparator" w:id="0">
    <w:p w:rsidR="006B3E3B" w:rsidRDefault="006B3E3B" w:rsidP="003E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733928"/>
      <w:docPartObj>
        <w:docPartGallery w:val="Page Numbers (Bottom of Page)"/>
        <w:docPartUnique/>
      </w:docPartObj>
    </w:sdtPr>
    <w:sdtEndPr/>
    <w:sdtContent>
      <w:p w:rsidR="00DC3380" w:rsidRDefault="00DC338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6D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C3380" w:rsidRDefault="00DC33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3B" w:rsidRDefault="006B3E3B" w:rsidP="003E7E59">
      <w:pPr>
        <w:spacing w:after="0" w:line="240" w:lineRule="auto"/>
      </w:pPr>
      <w:r>
        <w:separator/>
      </w:r>
    </w:p>
  </w:footnote>
  <w:footnote w:type="continuationSeparator" w:id="0">
    <w:p w:rsidR="006B3E3B" w:rsidRDefault="006B3E3B" w:rsidP="003E7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40464"/>
    <w:multiLevelType w:val="hybridMultilevel"/>
    <w:tmpl w:val="CBBC87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908D6"/>
    <w:multiLevelType w:val="hybridMultilevel"/>
    <w:tmpl w:val="5FEE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538B3"/>
    <w:multiLevelType w:val="hybridMultilevel"/>
    <w:tmpl w:val="BD44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F03859"/>
    <w:multiLevelType w:val="hybridMultilevel"/>
    <w:tmpl w:val="E398FE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5E3597"/>
    <w:multiLevelType w:val="hybridMultilevel"/>
    <w:tmpl w:val="01C070B6"/>
    <w:lvl w:ilvl="0" w:tplc="DE9807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233E36A9"/>
    <w:multiLevelType w:val="hybridMultilevel"/>
    <w:tmpl w:val="BD0CEEEC"/>
    <w:lvl w:ilvl="0" w:tplc="75B64274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334CBD"/>
    <w:multiLevelType w:val="hybridMultilevel"/>
    <w:tmpl w:val="01BE3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14D4D48"/>
    <w:multiLevelType w:val="hybridMultilevel"/>
    <w:tmpl w:val="7A42B220"/>
    <w:lvl w:ilvl="0" w:tplc="35F67EA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765067"/>
    <w:multiLevelType w:val="hybridMultilevel"/>
    <w:tmpl w:val="B0AE7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4039C7"/>
    <w:multiLevelType w:val="hybridMultilevel"/>
    <w:tmpl w:val="6B2276D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4">
    <w:nsid w:val="684314A0"/>
    <w:multiLevelType w:val="hybridMultilevel"/>
    <w:tmpl w:val="C8BA1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76880"/>
    <w:multiLevelType w:val="hybridMultilevel"/>
    <w:tmpl w:val="9168A59E"/>
    <w:lvl w:ilvl="0" w:tplc="98FEDF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9"/>
  </w:num>
  <w:num w:numId="3">
    <w:abstractNumId w:val="1"/>
  </w:num>
  <w:num w:numId="4">
    <w:abstractNumId w:val="7"/>
  </w:num>
  <w:num w:numId="5">
    <w:abstractNumId w:val="3"/>
  </w:num>
  <w:num w:numId="6">
    <w:abstractNumId w:val="26"/>
  </w:num>
  <w:num w:numId="7">
    <w:abstractNumId w:val="37"/>
  </w:num>
  <w:num w:numId="8">
    <w:abstractNumId w:val="14"/>
  </w:num>
  <w:num w:numId="9">
    <w:abstractNumId w:val="11"/>
  </w:num>
  <w:num w:numId="10">
    <w:abstractNumId w:val="23"/>
  </w:num>
  <w:num w:numId="11">
    <w:abstractNumId w:val="39"/>
  </w:num>
  <w:num w:numId="12">
    <w:abstractNumId w:val="16"/>
  </w:num>
  <w:num w:numId="13">
    <w:abstractNumId w:val="32"/>
  </w:num>
  <w:num w:numId="14">
    <w:abstractNumId w:val="12"/>
  </w:num>
  <w:num w:numId="15">
    <w:abstractNumId w:val="4"/>
  </w:num>
  <w:num w:numId="16">
    <w:abstractNumId w:val="24"/>
  </w:num>
  <w:num w:numId="17">
    <w:abstractNumId w:val="20"/>
  </w:num>
  <w:num w:numId="18">
    <w:abstractNumId w:val="28"/>
  </w:num>
  <w:num w:numId="19">
    <w:abstractNumId w:val="10"/>
  </w:num>
  <w:num w:numId="20">
    <w:abstractNumId w:val="27"/>
  </w:num>
  <w:num w:numId="21">
    <w:abstractNumId w:val="35"/>
  </w:num>
  <w:num w:numId="22">
    <w:abstractNumId w:val="31"/>
  </w:num>
  <w:num w:numId="23">
    <w:abstractNumId w:val="30"/>
  </w:num>
  <w:num w:numId="24">
    <w:abstractNumId w:val="36"/>
  </w:num>
  <w:num w:numId="25">
    <w:abstractNumId w:val="17"/>
  </w:num>
  <w:num w:numId="26">
    <w:abstractNumId w:val="8"/>
  </w:num>
  <w:num w:numId="27">
    <w:abstractNumId w:val="0"/>
  </w:num>
  <w:num w:numId="28">
    <w:abstractNumId w:val="13"/>
  </w:num>
  <w:num w:numId="29">
    <w:abstractNumId w:val="9"/>
  </w:num>
  <w:num w:numId="30">
    <w:abstractNumId w:val="5"/>
  </w:num>
  <w:num w:numId="31">
    <w:abstractNumId w:val="38"/>
  </w:num>
  <w:num w:numId="32">
    <w:abstractNumId w:val="19"/>
  </w:num>
  <w:num w:numId="33">
    <w:abstractNumId w:val="6"/>
  </w:num>
  <w:num w:numId="34">
    <w:abstractNumId w:val="18"/>
  </w:num>
  <w:num w:numId="35">
    <w:abstractNumId w:val="21"/>
  </w:num>
  <w:num w:numId="36">
    <w:abstractNumId w:val="34"/>
  </w:num>
  <w:num w:numId="37">
    <w:abstractNumId w:val="22"/>
  </w:num>
  <w:num w:numId="38">
    <w:abstractNumId w:val="25"/>
  </w:num>
  <w:num w:numId="39">
    <w:abstractNumId w:val="2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DFB"/>
    <w:rsid w:val="00000725"/>
    <w:rsid w:val="00003ADA"/>
    <w:rsid w:val="00003D8A"/>
    <w:rsid w:val="00017262"/>
    <w:rsid w:val="0003726B"/>
    <w:rsid w:val="00050072"/>
    <w:rsid w:val="0005223D"/>
    <w:rsid w:val="00067E44"/>
    <w:rsid w:val="00084490"/>
    <w:rsid w:val="00091A9E"/>
    <w:rsid w:val="000A0316"/>
    <w:rsid w:val="000B270C"/>
    <w:rsid w:val="000B79BF"/>
    <w:rsid w:val="000C28F0"/>
    <w:rsid w:val="000C296A"/>
    <w:rsid w:val="000D2567"/>
    <w:rsid w:val="000E1CE6"/>
    <w:rsid w:val="000F1223"/>
    <w:rsid w:val="000F66BC"/>
    <w:rsid w:val="00120FE2"/>
    <w:rsid w:val="00127D9F"/>
    <w:rsid w:val="00136E21"/>
    <w:rsid w:val="00143B57"/>
    <w:rsid w:val="001676E7"/>
    <w:rsid w:val="001A034B"/>
    <w:rsid w:val="001A45AA"/>
    <w:rsid w:val="001D31D6"/>
    <w:rsid w:val="001D5108"/>
    <w:rsid w:val="001E0E35"/>
    <w:rsid w:val="001E5762"/>
    <w:rsid w:val="001F148E"/>
    <w:rsid w:val="002350A0"/>
    <w:rsid w:val="002359B9"/>
    <w:rsid w:val="00251511"/>
    <w:rsid w:val="0027247D"/>
    <w:rsid w:val="002840A4"/>
    <w:rsid w:val="002B5F7B"/>
    <w:rsid w:val="002C40AD"/>
    <w:rsid w:val="003043DA"/>
    <w:rsid w:val="0030466C"/>
    <w:rsid w:val="00311CA5"/>
    <w:rsid w:val="00324D0C"/>
    <w:rsid w:val="0033273B"/>
    <w:rsid w:val="00342EDD"/>
    <w:rsid w:val="00343329"/>
    <w:rsid w:val="00351FF8"/>
    <w:rsid w:val="003535CA"/>
    <w:rsid w:val="00392DB0"/>
    <w:rsid w:val="003C1937"/>
    <w:rsid w:val="003D3697"/>
    <w:rsid w:val="003E3FC3"/>
    <w:rsid w:val="003E6CA5"/>
    <w:rsid w:val="003E7E59"/>
    <w:rsid w:val="003F0238"/>
    <w:rsid w:val="003F69C4"/>
    <w:rsid w:val="00402B92"/>
    <w:rsid w:val="00407439"/>
    <w:rsid w:val="004261B5"/>
    <w:rsid w:val="00435C2B"/>
    <w:rsid w:val="0045157D"/>
    <w:rsid w:val="0045469A"/>
    <w:rsid w:val="00475D7B"/>
    <w:rsid w:val="00484830"/>
    <w:rsid w:val="004873F9"/>
    <w:rsid w:val="0049455E"/>
    <w:rsid w:val="004A479D"/>
    <w:rsid w:val="004D0B65"/>
    <w:rsid w:val="004D7DDF"/>
    <w:rsid w:val="004E6A30"/>
    <w:rsid w:val="00500725"/>
    <w:rsid w:val="00502AA3"/>
    <w:rsid w:val="0050622B"/>
    <w:rsid w:val="00515F70"/>
    <w:rsid w:val="0052470E"/>
    <w:rsid w:val="005503CB"/>
    <w:rsid w:val="00565939"/>
    <w:rsid w:val="005A3C7B"/>
    <w:rsid w:val="005A68A9"/>
    <w:rsid w:val="005B575A"/>
    <w:rsid w:val="005C0FA1"/>
    <w:rsid w:val="005D0B37"/>
    <w:rsid w:val="005D0EC1"/>
    <w:rsid w:val="005E4BAD"/>
    <w:rsid w:val="00612CB6"/>
    <w:rsid w:val="006325D2"/>
    <w:rsid w:val="006411C4"/>
    <w:rsid w:val="0064745A"/>
    <w:rsid w:val="00653530"/>
    <w:rsid w:val="00672C1E"/>
    <w:rsid w:val="00675DFB"/>
    <w:rsid w:val="00684524"/>
    <w:rsid w:val="006B3E3B"/>
    <w:rsid w:val="00711330"/>
    <w:rsid w:val="007121B6"/>
    <w:rsid w:val="00713FB0"/>
    <w:rsid w:val="00721B29"/>
    <w:rsid w:val="007258DA"/>
    <w:rsid w:val="00752CDE"/>
    <w:rsid w:val="00772385"/>
    <w:rsid w:val="00775BF5"/>
    <w:rsid w:val="007807E4"/>
    <w:rsid w:val="007868EB"/>
    <w:rsid w:val="00792D7E"/>
    <w:rsid w:val="007A2C0C"/>
    <w:rsid w:val="007D59C1"/>
    <w:rsid w:val="007F57C2"/>
    <w:rsid w:val="0080112A"/>
    <w:rsid w:val="00807F4D"/>
    <w:rsid w:val="00827E4D"/>
    <w:rsid w:val="00862A8E"/>
    <w:rsid w:val="00863C49"/>
    <w:rsid w:val="0086710C"/>
    <w:rsid w:val="00867186"/>
    <w:rsid w:val="008812BC"/>
    <w:rsid w:val="00883097"/>
    <w:rsid w:val="008863BD"/>
    <w:rsid w:val="00890DC6"/>
    <w:rsid w:val="00891EC7"/>
    <w:rsid w:val="008B25D1"/>
    <w:rsid w:val="008B68EB"/>
    <w:rsid w:val="008E19A2"/>
    <w:rsid w:val="008F1C0A"/>
    <w:rsid w:val="009069EF"/>
    <w:rsid w:val="0091630C"/>
    <w:rsid w:val="00917D89"/>
    <w:rsid w:val="0093232E"/>
    <w:rsid w:val="00933BAF"/>
    <w:rsid w:val="00934A16"/>
    <w:rsid w:val="0097622D"/>
    <w:rsid w:val="00983CEE"/>
    <w:rsid w:val="0098478D"/>
    <w:rsid w:val="009B63CB"/>
    <w:rsid w:val="009C6861"/>
    <w:rsid w:val="00A00317"/>
    <w:rsid w:val="00A076DF"/>
    <w:rsid w:val="00A10394"/>
    <w:rsid w:val="00A1130C"/>
    <w:rsid w:val="00A16D20"/>
    <w:rsid w:val="00A21EC3"/>
    <w:rsid w:val="00A462DC"/>
    <w:rsid w:val="00A724B3"/>
    <w:rsid w:val="00A8554E"/>
    <w:rsid w:val="00A8705D"/>
    <w:rsid w:val="00AA202F"/>
    <w:rsid w:val="00AA77DF"/>
    <w:rsid w:val="00AC728C"/>
    <w:rsid w:val="00AD6FCA"/>
    <w:rsid w:val="00AF56A3"/>
    <w:rsid w:val="00B07127"/>
    <w:rsid w:val="00B12ABE"/>
    <w:rsid w:val="00B306E2"/>
    <w:rsid w:val="00B31E60"/>
    <w:rsid w:val="00B31E61"/>
    <w:rsid w:val="00B31F06"/>
    <w:rsid w:val="00B3471F"/>
    <w:rsid w:val="00B35D56"/>
    <w:rsid w:val="00B56DD0"/>
    <w:rsid w:val="00B71EB3"/>
    <w:rsid w:val="00B82D2E"/>
    <w:rsid w:val="00B8345C"/>
    <w:rsid w:val="00B87E9C"/>
    <w:rsid w:val="00B94A59"/>
    <w:rsid w:val="00BB1760"/>
    <w:rsid w:val="00BB3EFE"/>
    <w:rsid w:val="00BC27D6"/>
    <w:rsid w:val="00BD393C"/>
    <w:rsid w:val="00C355F6"/>
    <w:rsid w:val="00C356E1"/>
    <w:rsid w:val="00C36F68"/>
    <w:rsid w:val="00C3745D"/>
    <w:rsid w:val="00C43581"/>
    <w:rsid w:val="00C50424"/>
    <w:rsid w:val="00C52D3F"/>
    <w:rsid w:val="00C905A7"/>
    <w:rsid w:val="00CA1358"/>
    <w:rsid w:val="00CB307A"/>
    <w:rsid w:val="00CC514B"/>
    <w:rsid w:val="00CD5963"/>
    <w:rsid w:val="00CE3B0C"/>
    <w:rsid w:val="00D13CEC"/>
    <w:rsid w:val="00D44883"/>
    <w:rsid w:val="00D46E09"/>
    <w:rsid w:val="00D471D6"/>
    <w:rsid w:val="00D82D91"/>
    <w:rsid w:val="00D92117"/>
    <w:rsid w:val="00DA06C5"/>
    <w:rsid w:val="00DA430F"/>
    <w:rsid w:val="00DB0A62"/>
    <w:rsid w:val="00DB0C98"/>
    <w:rsid w:val="00DB3AE7"/>
    <w:rsid w:val="00DC3380"/>
    <w:rsid w:val="00E17382"/>
    <w:rsid w:val="00E20860"/>
    <w:rsid w:val="00E239DB"/>
    <w:rsid w:val="00E30CF0"/>
    <w:rsid w:val="00E36069"/>
    <w:rsid w:val="00E659E5"/>
    <w:rsid w:val="00E70F6F"/>
    <w:rsid w:val="00E73A86"/>
    <w:rsid w:val="00E9561F"/>
    <w:rsid w:val="00E96E1E"/>
    <w:rsid w:val="00EA21B9"/>
    <w:rsid w:val="00EA22EC"/>
    <w:rsid w:val="00EA542B"/>
    <w:rsid w:val="00EB3E4F"/>
    <w:rsid w:val="00EC6F64"/>
    <w:rsid w:val="00F007B2"/>
    <w:rsid w:val="00F10B88"/>
    <w:rsid w:val="00F11A9B"/>
    <w:rsid w:val="00F12651"/>
    <w:rsid w:val="00F17466"/>
    <w:rsid w:val="00F20B43"/>
    <w:rsid w:val="00F2559C"/>
    <w:rsid w:val="00F262FE"/>
    <w:rsid w:val="00F34135"/>
    <w:rsid w:val="00F54178"/>
    <w:rsid w:val="00F602CD"/>
    <w:rsid w:val="00F76796"/>
    <w:rsid w:val="00F84F1C"/>
    <w:rsid w:val="00F93378"/>
    <w:rsid w:val="00F93C2F"/>
    <w:rsid w:val="00FE3217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E21"/>
  </w:style>
  <w:style w:type="paragraph" w:styleId="1">
    <w:name w:val="heading 1"/>
    <w:basedOn w:val="a"/>
    <w:next w:val="a"/>
    <w:link w:val="10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D92117"/>
    <w:pPr>
      <w:spacing w:before="100" w:beforeAutospacing="1" w:after="150" w:line="240" w:lineRule="auto"/>
      <w:outlineLvl w:val="1"/>
    </w:pPr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D92117"/>
    <w:pPr>
      <w:spacing w:before="100" w:beforeAutospacing="1" w:after="150" w:line="240" w:lineRule="auto"/>
      <w:outlineLvl w:val="2"/>
    </w:pPr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92117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2117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1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17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2117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211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2117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21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rsid w:val="00D92117"/>
  </w:style>
  <w:style w:type="paragraph" w:styleId="a3">
    <w:name w:val="header"/>
    <w:basedOn w:val="a"/>
    <w:link w:val="a4"/>
    <w:uiPriority w:val="99"/>
    <w:rsid w:val="00D92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2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D92117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D921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92117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92117"/>
  </w:style>
  <w:style w:type="paragraph" w:styleId="aa">
    <w:name w:val="List Paragraph"/>
    <w:basedOn w:val="a"/>
    <w:uiPriority w:val="34"/>
    <w:qFormat/>
    <w:rsid w:val="00D921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2117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2117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rsid w:val="00D92117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rsid w:val="00D92117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rsid w:val="00D92117"/>
    <w:rPr>
      <w:rFonts w:ascii="Tahoma" w:hAnsi="Tahoma" w:cs="Tahoma" w:hint="default"/>
      <w:color w:val="333333"/>
      <w:sz w:val="20"/>
      <w:szCs w:val="20"/>
    </w:rPr>
  </w:style>
  <w:style w:type="character" w:styleId="ab">
    <w:name w:val="Emphasis"/>
    <w:uiPriority w:val="20"/>
    <w:qFormat/>
    <w:rsid w:val="00D92117"/>
    <w:rPr>
      <w:i/>
      <w:iCs/>
    </w:rPr>
  </w:style>
  <w:style w:type="character" w:styleId="ac">
    <w:name w:val="Strong"/>
    <w:uiPriority w:val="22"/>
    <w:qFormat/>
    <w:rsid w:val="00D92117"/>
    <w:rPr>
      <w:b/>
      <w:bCs/>
    </w:rPr>
  </w:style>
  <w:style w:type="paragraph" w:styleId="ad">
    <w:name w:val="Normal (Web)"/>
    <w:basedOn w:val="a"/>
    <w:uiPriority w:val="99"/>
    <w:unhideWhenUsed/>
    <w:rsid w:val="00D92117"/>
    <w:pPr>
      <w:widowControl w:val="0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D921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p">
    <w:name w:val="sep"/>
    <w:rsid w:val="00D92117"/>
  </w:style>
  <w:style w:type="character" w:customStyle="1" w:styleId="displaynone">
    <w:name w:val="displaynone"/>
    <w:rsid w:val="00D92117"/>
  </w:style>
  <w:style w:type="character" w:customStyle="1" w:styleId="pluso-counter">
    <w:name w:val="pluso-counter"/>
    <w:rsid w:val="00D92117"/>
  </w:style>
  <w:style w:type="character" w:customStyle="1" w:styleId="instr-count3">
    <w:name w:val="instr-count3"/>
    <w:rsid w:val="00D92117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rsid w:val="00D92117"/>
    <w:rPr>
      <w:rFonts w:ascii="Verdana" w:hAnsi="Verdana" w:hint="default"/>
      <w:b/>
      <w:bCs/>
    </w:rPr>
  </w:style>
  <w:style w:type="paragraph" w:styleId="af">
    <w:name w:val="No Spacing"/>
    <w:uiPriority w:val="1"/>
    <w:qFormat/>
    <w:rsid w:val="00D921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D9211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2">
    <w:name w:val="toc 1"/>
    <w:basedOn w:val="a"/>
    <w:next w:val="a"/>
    <w:uiPriority w:val="39"/>
    <w:rsid w:val="00D9211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"/>
    <w:autoRedefine/>
    <w:qFormat/>
    <w:rsid w:val="00D92117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92117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D92117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шрифт абзаца1"/>
    <w:rsid w:val="00D92117"/>
  </w:style>
  <w:style w:type="paragraph" w:styleId="af0">
    <w:name w:val="Body Text Indent"/>
    <w:basedOn w:val="a"/>
    <w:link w:val="af1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92117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2">
    <w:name w:val="footnote reference"/>
    <w:aliases w:val="Знак сноски-FN,Знак сноски 1,Ciae niinee-FN,Referencia nota al pie,Ссылка на сноску 45,Appel note de bas de page"/>
    <w:rsid w:val="00D92117"/>
    <w:rPr>
      <w:vertAlign w:val="superscript"/>
    </w:rPr>
  </w:style>
  <w:style w:type="paragraph" w:styleId="af3">
    <w:name w:val="annotation text"/>
    <w:basedOn w:val="a"/>
    <w:link w:val="af4"/>
    <w:rsid w:val="00D9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2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"/>
    <w:basedOn w:val="a"/>
    <w:link w:val="af6"/>
    <w:rsid w:val="00D921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D92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D9211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5">
    <w:name w:val="Основной текст Знак1"/>
    <w:uiPriority w:val="99"/>
    <w:rsid w:val="00D92117"/>
    <w:rPr>
      <w:rFonts w:ascii="Times New Roman" w:hAnsi="Times New Roman" w:cs="Times New Roman"/>
      <w:sz w:val="17"/>
      <w:szCs w:val="17"/>
      <w:u w:val="none"/>
    </w:rPr>
  </w:style>
  <w:style w:type="paragraph" w:styleId="af7">
    <w:name w:val="List"/>
    <w:basedOn w:val="af5"/>
    <w:rsid w:val="00D92117"/>
    <w:rPr>
      <w:rFonts w:ascii="Arial" w:hAnsi="Arial" w:cs="Mangal"/>
    </w:rPr>
  </w:style>
  <w:style w:type="paragraph" w:customStyle="1" w:styleId="af8">
    <w:name w:val="Абзац"/>
    <w:basedOn w:val="a"/>
    <w:link w:val="af9"/>
    <w:qFormat/>
    <w:rsid w:val="00D92117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Абзац Знак"/>
    <w:link w:val="af8"/>
    <w:locked/>
    <w:rsid w:val="00D921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D92117"/>
  </w:style>
  <w:style w:type="paragraph" w:customStyle="1" w:styleId="16">
    <w:name w:val="Маркированный список1"/>
    <w:basedOn w:val="a"/>
    <w:rsid w:val="00D92117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unhideWhenUsed/>
    <w:rsid w:val="00D9211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21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ts-hit">
    <w:name w:val="fts-hit"/>
    <w:rsid w:val="00D92117"/>
  </w:style>
  <w:style w:type="character" w:customStyle="1" w:styleId="apple-converted-space">
    <w:name w:val="apple-converted-space"/>
    <w:rsid w:val="00D92117"/>
  </w:style>
  <w:style w:type="paragraph" w:customStyle="1" w:styleId="afa">
    <w:name w:val="_абзац"/>
    <w:basedOn w:val="a"/>
    <w:link w:val="afb"/>
    <w:qFormat/>
    <w:rsid w:val="00D92117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_абзац Знак"/>
    <w:link w:val="afa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Заголовок 1"/>
    <w:basedOn w:val="a"/>
    <w:rsid w:val="00D92117"/>
    <w:pPr>
      <w:numPr>
        <w:numId w:val="3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D92117"/>
    <w:pPr>
      <w:numPr>
        <w:ilvl w:val="1"/>
        <w:numId w:val="3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D92117"/>
    <w:pPr>
      <w:numPr>
        <w:ilvl w:val="2"/>
        <w:numId w:val="3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D92117"/>
    <w:pPr>
      <w:keepNext w:val="0"/>
      <w:widowControl/>
      <w:numPr>
        <w:ilvl w:val="3"/>
        <w:numId w:val="37"/>
      </w:numPr>
      <w:autoSpaceDE/>
      <w:autoSpaceDN/>
      <w:adjustRightInd/>
      <w:spacing w:before="0" w:after="0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30">
    <w:name w:val="S_Заголовок 3 Знак"/>
    <w:link w:val="S3"/>
    <w:rsid w:val="00D9211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"/>
    <w:link w:val="S0"/>
    <w:uiPriority w:val="99"/>
    <w:qFormat/>
    <w:rsid w:val="00D92117"/>
    <w:pPr>
      <w:suppressAutoHyphens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S0">
    <w:name w:val="S_Обычный Знак"/>
    <w:link w:val="S"/>
    <w:uiPriority w:val="99"/>
    <w:locked/>
    <w:rsid w:val="00D92117"/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510">
    <w:name w:val="Заголовок 5 Знак1"/>
    <w:semiHidden/>
    <w:rsid w:val="00D92117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customStyle="1" w:styleId="17">
    <w:name w:val="Сетка таблицы1"/>
    <w:basedOn w:val="a1"/>
    <w:next w:val="ae"/>
    <w:rsid w:val="00934A1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D92117"/>
    <w:pPr>
      <w:spacing w:before="100" w:beforeAutospacing="1" w:after="150" w:line="240" w:lineRule="auto"/>
      <w:outlineLvl w:val="1"/>
    </w:pPr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D92117"/>
    <w:pPr>
      <w:spacing w:before="100" w:beforeAutospacing="1" w:after="150" w:line="240" w:lineRule="auto"/>
      <w:outlineLvl w:val="2"/>
    </w:pPr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92117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D92117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2117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11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17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2117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9211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92117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21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numbering" w:customStyle="1" w:styleId="11">
    <w:name w:val="Нет списка1"/>
    <w:next w:val="a2"/>
    <w:semiHidden/>
    <w:rsid w:val="00D92117"/>
  </w:style>
  <w:style w:type="paragraph" w:styleId="a3">
    <w:name w:val="header"/>
    <w:basedOn w:val="a"/>
    <w:link w:val="a4"/>
    <w:uiPriority w:val="99"/>
    <w:rsid w:val="00D92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2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D92117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D921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92117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92117"/>
  </w:style>
  <w:style w:type="paragraph" w:styleId="aa">
    <w:name w:val="List Paragraph"/>
    <w:basedOn w:val="a"/>
    <w:uiPriority w:val="34"/>
    <w:qFormat/>
    <w:rsid w:val="00D921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2117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2117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rsid w:val="00D92117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rsid w:val="00D92117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rsid w:val="00D92117"/>
    <w:rPr>
      <w:rFonts w:ascii="Tahoma" w:hAnsi="Tahoma" w:cs="Tahoma" w:hint="default"/>
      <w:color w:val="333333"/>
      <w:sz w:val="20"/>
      <w:szCs w:val="20"/>
    </w:rPr>
  </w:style>
  <w:style w:type="character" w:styleId="ab">
    <w:name w:val="Emphasis"/>
    <w:uiPriority w:val="20"/>
    <w:qFormat/>
    <w:rsid w:val="00D92117"/>
    <w:rPr>
      <w:i/>
      <w:iCs/>
    </w:rPr>
  </w:style>
  <w:style w:type="character" w:styleId="ac">
    <w:name w:val="Strong"/>
    <w:uiPriority w:val="22"/>
    <w:qFormat/>
    <w:rsid w:val="00D92117"/>
    <w:rPr>
      <w:b/>
      <w:bCs/>
    </w:rPr>
  </w:style>
  <w:style w:type="paragraph" w:styleId="ad">
    <w:name w:val="Normal (Web)"/>
    <w:basedOn w:val="a"/>
    <w:uiPriority w:val="99"/>
    <w:unhideWhenUsed/>
    <w:rsid w:val="00D92117"/>
    <w:pPr>
      <w:widowControl w:val="0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D921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p">
    <w:name w:val="sep"/>
    <w:rsid w:val="00D92117"/>
  </w:style>
  <w:style w:type="character" w:customStyle="1" w:styleId="displaynone">
    <w:name w:val="displaynone"/>
    <w:rsid w:val="00D92117"/>
  </w:style>
  <w:style w:type="character" w:customStyle="1" w:styleId="pluso-counter">
    <w:name w:val="pluso-counter"/>
    <w:rsid w:val="00D92117"/>
  </w:style>
  <w:style w:type="character" w:customStyle="1" w:styleId="instr-count3">
    <w:name w:val="instr-count3"/>
    <w:rsid w:val="00D92117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rsid w:val="00D92117"/>
    <w:rPr>
      <w:rFonts w:ascii="Verdana" w:hAnsi="Verdana" w:hint="default"/>
      <w:b/>
      <w:bCs/>
    </w:rPr>
  </w:style>
  <w:style w:type="paragraph" w:styleId="af">
    <w:name w:val="No Spacing"/>
    <w:uiPriority w:val="1"/>
    <w:qFormat/>
    <w:rsid w:val="00D921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D9211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2">
    <w:name w:val="toc 1"/>
    <w:basedOn w:val="a"/>
    <w:next w:val="a"/>
    <w:uiPriority w:val="39"/>
    <w:rsid w:val="00D92117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5">
    <w:name w:val="S_Заголовок 5"/>
    <w:basedOn w:val="a"/>
    <w:autoRedefine/>
    <w:qFormat/>
    <w:rsid w:val="00D92117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ConsPlusNormal0">
    <w:name w:val="ConsPlusNormal Знак"/>
    <w:link w:val="ConsPlusNormal"/>
    <w:locked/>
    <w:rsid w:val="00D92117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D92117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Основной шрифт абзаца1"/>
    <w:rsid w:val="00D92117"/>
  </w:style>
  <w:style w:type="paragraph" w:styleId="af0">
    <w:name w:val="Body Text Indent"/>
    <w:basedOn w:val="a"/>
    <w:link w:val="af1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D92117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2">
    <w:name w:val="footnote reference"/>
    <w:aliases w:val="Знак сноски-FN,Знак сноски 1,Ciae niinee-FN,Referencia nota al pie,Ссылка на сноску 45,Appel note de bas de page"/>
    <w:rsid w:val="00D92117"/>
    <w:rPr>
      <w:vertAlign w:val="superscript"/>
    </w:rPr>
  </w:style>
  <w:style w:type="paragraph" w:styleId="af3">
    <w:name w:val="annotation text"/>
    <w:basedOn w:val="a"/>
    <w:link w:val="af4"/>
    <w:rsid w:val="00D9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D92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21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2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Body Text"/>
    <w:basedOn w:val="a"/>
    <w:link w:val="af6"/>
    <w:rsid w:val="00D921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D92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D92117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5">
    <w:name w:val="Основной текст Знак1"/>
    <w:uiPriority w:val="99"/>
    <w:rsid w:val="00D92117"/>
    <w:rPr>
      <w:rFonts w:ascii="Times New Roman" w:hAnsi="Times New Roman" w:cs="Times New Roman"/>
      <w:sz w:val="17"/>
      <w:szCs w:val="17"/>
      <w:u w:val="none"/>
    </w:rPr>
  </w:style>
  <w:style w:type="paragraph" w:styleId="af7">
    <w:name w:val="List"/>
    <w:basedOn w:val="af5"/>
    <w:rsid w:val="00D92117"/>
    <w:rPr>
      <w:rFonts w:ascii="Arial" w:hAnsi="Arial" w:cs="Mangal"/>
    </w:rPr>
  </w:style>
  <w:style w:type="paragraph" w:customStyle="1" w:styleId="af8">
    <w:name w:val="Абзац"/>
    <w:basedOn w:val="a"/>
    <w:link w:val="af9"/>
    <w:qFormat/>
    <w:rsid w:val="00D92117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Абзац Знак"/>
    <w:link w:val="af8"/>
    <w:locked/>
    <w:rsid w:val="00D921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-Absatz-Standardschriftart1111111111111111111111111">
    <w:name w:val="WW-Absatz-Standardschriftart1111111111111111111111111"/>
    <w:rsid w:val="00D92117"/>
  </w:style>
  <w:style w:type="paragraph" w:customStyle="1" w:styleId="16">
    <w:name w:val="Маркированный список1"/>
    <w:basedOn w:val="a"/>
    <w:rsid w:val="00D92117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toc 3"/>
    <w:basedOn w:val="a"/>
    <w:next w:val="a"/>
    <w:autoRedefine/>
    <w:uiPriority w:val="39"/>
    <w:unhideWhenUsed/>
    <w:rsid w:val="00D9211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21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ts-hit">
    <w:name w:val="fts-hit"/>
    <w:rsid w:val="00D92117"/>
  </w:style>
  <w:style w:type="character" w:customStyle="1" w:styleId="apple-converted-space">
    <w:name w:val="apple-converted-space"/>
    <w:rsid w:val="00D92117"/>
  </w:style>
  <w:style w:type="paragraph" w:customStyle="1" w:styleId="afa">
    <w:name w:val="_абзац"/>
    <w:basedOn w:val="a"/>
    <w:link w:val="afb"/>
    <w:qFormat/>
    <w:rsid w:val="00D92117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_абзац Знак"/>
    <w:link w:val="afa"/>
    <w:rsid w:val="00D92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D9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Заголовок 1"/>
    <w:basedOn w:val="a"/>
    <w:rsid w:val="00D92117"/>
    <w:pPr>
      <w:numPr>
        <w:numId w:val="3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D92117"/>
    <w:pPr>
      <w:numPr>
        <w:ilvl w:val="1"/>
        <w:numId w:val="3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D92117"/>
    <w:pPr>
      <w:numPr>
        <w:ilvl w:val="2"/>
        <w:numId w:val="3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D92117"/>
    <w:pPr>
      <w:keepNext w:val="0"/>
      <w:widowControl/>
      <w:numPr>
        <w:ilvl w:val="3"/>
        <w:numId w:val="37"/>
      </w:numPr>
      <w:autoSpaceDE/>
      <w:autoSpaceDN/>
      <w:adjustRightInd/>
      <w:spacing w:before="0" w:after="0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30">
    <w:name w:val="S_Заголовок 3 Знак"/>
    <w:link w:val="S3"/>
    <w:rsid w:val="00D9211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"/>
    <w:link w:val="S0"/>
    <w:uiPriority w:val="99"/>
    <w:qFormat/>
    <w:rsid w:val="00D92117"/>
    <w:pPr>
      <w:suppressAutoHyphens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S0">
    <w:name w:val="S_Обычный Знак"/>
    <w:link w:val="S"/>
    <w:uiPriority w:val="99"/>
    <w:locked/>
    <w:rsid w:val="00D92117"/>
    <w:rPr>
      <w:rFonts w:ascii="Times New Roman" w:eastAsia="Times New Roman" w:hAnsi="Times New Roman" w:cs="Times New Roman"/>
      <w:kern w:val="1"/>
      <w:sz w:val="24"/>
      <w:lang w:eastAsia="ar-SA"/>
    </w:rPr>
  </w:style>
  <w:style w:type="character" w:customStyle="1" w:styleId="510">
    <w:name w:val="Заголовок 5 Знак1"/>
    <w:semiHidden/>
    <w:rsid w:val="00D92117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FD397C2840E356AAC07B0473202C2D18844BC6F2CCB8D921D608B34324DA12FBC73FFCAF07E1C598IBS9H" TargetMode="External"/><Relationship Id="rId26" Type="http://schemas.openxmlformats.org/officeDocument/2006/relationships/hyperlink" Target="http://docs.cntd.ru/document/9004835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04835" TargetMode="External"/><Relationship Id="rId34" Type="http://schemas.openxmlformats.org/officeDocument/2006/relationships/hyperlink" Target="../../../Program%20Files/StroyConsultant/Temp/896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1%80%D0%B5%D0%B4%D0%B0_%D0%BE%D0%B1%D0%B8%D1%82%D0%B0%D0%BD%D0%B8%D1%8F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://docs.cntd.ru/document/9004835" TargetMode="External"/><Relationship Id="rId33" Type="http://schemas.openxmlformats.org/officeDocument/2006/relationships/hyperlink" Target="../../../Program%20Files/StroyConsultant/Temp/89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F48AF3F602836EF22537329EDDD6E149D67D5322F2E687B85A5FBCTEkFH" TargetMode="External"/><Relationship Id="rId20" Type="http://schemas.openxmlformats.org/officeDocument/2006/relationships/hyperlink" Target="http://docs.cntd.ru/document/9004835" TargetMode="External"/><Relationship Id="rId29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7%D0%BE%D0%BD%D1%8B_%D1%81_%D0%BE%D1%81%D0%BE%D0%B1%D1%8B%D0%BC%D0%B8_%D1%83%D1%81%D0%BB%D0%BE%D0%B2%D0%B8%D1%8F%D0%BC%D0%B8_%D0%B8%D1%81%D0%BF%D0%BE%D0%BB%D1%8C%D0%B7%D0%BE%D0%B2%D0%B0%D0%BD%D0%B8%D1%8F_%D1%82%D0%B5%D1%80%D1%80%D0%B8%D1%82%D0%BE%D1%80%D0%B8%D0%B9" TargetMode="External"/><Relationship Id="rId24" Type="http://schemas.openxmlformats.org/officeDocument/2006/relationships/hyperlink" Target="http://docs.cntd.ru/document/9004835" TargetMode="External"/><Relationship Id="rId32" Type="http://schemas.openxmlformats.org/officeDocument/2006/relationships/hyperlink" Target="file:///C:\Users\AppData\Local\Users\mpalatkin\Downloads\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D397C2840E356AAC07B0473202C2D188445C0F0CCBCD921D608B34324DA12FBC73FFCAF07E1C598IBS8H" TargetMode="External"/><Relationship Id="rId23" Type="http://schemas.openxmlformats.org/officeDocument/2006/relationships/hyperlink" Target="http://docs.cntd.ru/document/9004835" TargetMode="External"/><Relationship Id="rId28" Type="http://schemas.openxmlformats.org/officeDocument/2006/relationships/image" Target="media/image4.wmf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545242E63FB217440F2D12DE975B03D6962DA0DB1C981CCFC65C2626A5M1K" TargetMode="External"/><Relationship Id="rId19" Type="http://schemas.openxmlformats.org/officeDocument/2006/relationships/image" Target="media/image3.png"/><Relationship Id="rId31" Type="http://schemas.openxmlformats.org/officeDocument/2006/relationships/hyperlink" Target="file:///C:\Users\AppData\Local\Users\mpalatkin\Downloads\&#1057;&#1055;%2042-101-2003%20&#1043;&#1040;&#1047;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normacs://normacs.ru/VS05?dob=42705.000150&amp;dol=42761.617731" TargetMode="External"/><Relationship Id="rId14" Type="http://schemas.openxmlformats.org/officeDocument/2006/relationships/hyperlink" Target="consultantplus://offline/ref=FD397C2840E356AAC07B0473202C2D18844BC6F2CCB8D921D608B34324DA12FBC73FFCAF07E1C598IBS9H" TargetMode="External"/><Relationship Id="rId22" Type="http://schemas.openxmlformats.org/officeDocument/2006/relationships/hyperlink" Target="http://docs.cntd.ru/document/9004835" TargetMode="External"/><Relationship Id="rId27" Type="http://schemas.openxmlformats.org/officeDocument/2006/relationships/hyperlink" Target="http://docs.cntd.ru/document/902111644" TargetMode="External"/><Relationship Id="rId30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CAEB1-883C-48A4-B504-D1B3FCB0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73</Pages>
  <Words>28677</Words>
  <Characters>163462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Нина Михайловна</cp:lastModifiedBy>
  <cp:revision>168</cp:revision>
  <cp:lastPrinted>2021-04-08T08:20:00Z</cp:lastPrinted>
  <dcterms:created xsi:type="dcterms:W3CDTF">2017-11-28T10:46:00Z</dcterms:created>
  <dcterms:modified xsi:type="dcterms:W3CDTF">2024-03-15T11:24:00Z</dcterms:modified>
</cp:coreProperties>
</file>